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5982" w:rsidRDefault="00CC631F" w:rsidP="00555982">
      <w:pPr>
        <w:spacing w:after="0" w:line="360" w:lineRule="auto"/>
        <w:ind w:firstLine="709"/>
        <w:rPr>
          <w:rFonts w:ascii="Times New Roman" w:eastAsia="Times New Roman" w:hAnsi="Times New Roman" w:cs="Times New Roman"/>
          <w:b/>
          <w:i/>
          <w:color w:val="000000"/>
          <w:sz w:val="28"/>
          <w:szCs w:val="28"/>
        </w:rPr>
      </w:pPr>
      <w:r w:rsidRPr="00CC631F">
        <w:rPr>
          <w:rFonts w:ascii="Times New Roman" w:hAnsi="Times New Roman" w:cs="Times New Roman"/>
          <w:b/>
          <w:i/>
          <w:sz w:val="28"/>
          <w:szCs w:val="28"/>
        </w:rPr>
        <w:t>УДК 373.2.09-048.78:005.6(045)</w:t>
      </w:r>
    </w:p>
    <w:p w:rsidR="00555982" w:rsidRPr="005B458B" w:rsidRDefault="00555982" w:rsidP="00555982">
      <w:pPr>
        <w:spacing w:after="0" w:line="360" w:lineRule="auto"/>
        <w:ind w:firstLine="709"/>
        <w:rPr>
          <w:rFonts w:ascii="Times New Roman" w:eastAsia="Calibri" w:hAnsi="Times New Roman" w:cs="Times New Roman"/>
          <w:i/>
          <w:sz w:val="24"/>
          <w:szCs w:val="24"/>
          <w:lang w:val="ru-RU"/>
        </w:rPr>
      </w:pPr>
      <w:hyperlink r:id="rId6" w:history="1">
        <w:r w:rsidRPr="00C125A9">
          <w:rPr>
            <w:rStyle w:val="a3"/>
            <w:rFonts w:eastAsia="Calibri"/>
            <w:i/>
            <w:sz w:val="24"/>
            <w:szCs w:val="24"/>
          </w:rPr>
          <w:t>https://orcid.org/0000-0002-4267-8296</w:t>
        </w:r>
      </w:hyperlink>
    </w:p>
    <w:p w:rsidR="00555982" w:rsidRPr="00CC631F" w:rsidRDefault="00555982" w:rsidP="0080372D">
      <w:pPr>
        <w:spacing w:after="0" w:line="360" w:lineRule="auto"/>
        <w:ind w:firstLine="709"/>
        <w:jc w:val="both"/>
        <w:rPr>
          <w:rFonts w:ascii="Times New Roman" w:eastAsia="Times New Roman" w:hAnsi="Times New Roman" w:cs="Times New Roman"/>
          <w:b/>
          <w:i/>
          <w:color w:val="000000"/>
          <w:sz w:val="28"/>
          <w:szCs w:val="28"/>
        </w:rPr>
      </w:pPr>
    </w:p>
    <w:p w:rsidR="00555982" w:rsidRPr="00CC631F" w:rsidRDefault="00555982" w:rsidP="0080372D">
      <w:pPr>
        <w:spacing w:after="0" w:line="360" w:lineRule="auto"/>
        <w:ind w:firstLine="709"/>
        <w:jc w:val="right"/>
        <w:rPr>
          <w:rFonts w:ascii="Times New Roman" w:eastAsia="Calibri" w:hAnsi="Times New Roman" w:cs="Times New Roman"/>
          <w:b/>
          <w:i/>
          <w:sz w:val="28"/>
          <w:szCs w:val="28"/>
        </w:rPr>
      </w:pPr>
      <w:r w:rsidRPr="00CC631F">
        <w:rPr>
          <w:rFonts w:ascii="Times New Roman" w:eastAsia="Calibri" w:hAnsi="Times New Roman" w:cs="Times New Roman"/>
          <w:b/>
          <w:i/>
          <w:sz w:val="28"/>
          <w:szCs w:val="28"/>
        </w:rPr>
        <w:t>Кушнір Світлана</w:t>
      </w:r>
    </w:p>
    <w:p w:rsidR="00555982" w:rsidRPr="00CC631F" w:rsidRDefault="00555982" w:rsidP="0080372D">
      <w:pPr>
        <w:spacing w:after="0" w:line="360" w:lineRule="auto"/>
        <w:ind w:firstLine="709"/>
        <w:jc w:val="both"/>
        <w:rPr>
          <w:rFonts w:ascii="Times New Roman" w:eastAsia="Times New Roman" w:hAnsi="Times New Roman" w:cs="Times New Roman"/>
          <w:color w:val="000000"/>
          <w:sz w:val="28"/>
          <w:szCs w:val="28"/>
          <w:lang w:val="ru-RU"/>
        </w:rPr>
      </w:pPr>
    </w:p>
    <w:p w:rsidR="002A4D99" w:rsidRDefault="002A4D99" w:rsidP="0080372D">
      <w:pPr>
        <w:spacing w:after="0" w:line="360" w:lineRule="auto"/>
        <w:ind w:firstLine="709"/>
        <w:jc w:val="center"/>
        <w:outlineLvl w:val="0"/>
        <w:rPr>
          <w:rFonts w:ascii="Times New Roman" w:eastAsia="Times New Roman" w:hAnsi="Times New Roman" w:cs="Times New Roman"/>
          <w:b/>
          <w:sz w:val="28"/>
          <w:szCs w:val="28"/>
          <w:lang w:val="en-US"/>
        </w:rPr>
      </w:pPr>
      <w:r w:rsidRPr="002A4D99">
        <w:rPr>
          <w:rFonts w:ascii="Times New Roman" w:eastAsia="Times New Roman" w:hAnsi="Times New Roman" w:cs="Times New Roman"/>
          <w:b/>
          <w:bCs/>
          <w:kern w:val="36"/>
          <w:sz w:val="28"/>
          <w:szCs w:val="28"/>
        </w:rPr>
        <w:t>МЕНЕДЖМЕНТ ДОШКІЛЬНОЇ ОСВІТИ НОВОЇ ГЕНЕРАЦІЇ:</w:t>
      </w:r>
      <w:r>
        <w:rPr>
          <w:rFonts w:ascii="Times New Roman" w:eastAsia="Times New Roman" w:hAnsi="Times New Roman" w:cs="Times New Roman"/>
          <w:b/>
          <w:bCs/>
          <w:kern w:val="36"/>
          <w:sz w:val="28"/>
          <w:szCs w:val="28"/>
        </w:rPr>
        <w:t xml:space="preserve"> </w:t>
      </w:r>
      <w:r w:rsidRPr="002A4D99">
        <w:rPr>
          <w:rFonts w:ascii="Times New Roman" w:eastAsia="Times New Roman" w:hAnsi="Times New Roman" w:cs="Times New Roman"/>
          <w:b/>
          <w:sz w:val="28"/>
          <w:szCs w:val="28"/>
        </w:rPr>
        <w:t>КОНСТРУКТИВІЗМ, КІБЕРНЕТИКА ДРУГОГО ПОРЯДКУ ТА РОЗПОДІЛЕНЕ ЛІДЕРСТВО ЯК ОСНОВА ТРАНСФОРМАЦІЇ В УМОВАХ ПІСЛЯВОЄННОГО ВІДНОВЛЕННЯ</w:t>
      </w:r>
    </w:p>
    <w:p w:rsidR="0080372D" w:rsidRPr="0080372D" w:rsidRDefault="0080372D" w:rsidP="0080372D">
      <w:pPr>
        <w:spacing w:after="0" w:line="360" w:lineRule="auto"/>
        <w:ind w:firstLine="709"/>
        <w:jc w:val="center"/>
        <w:outlineLvl w:val="0"/>
        <w:rPr>
          <w:rFonts w:ascii="Times New Roman" w:eastAsia="Times New Roman" w:hAnsi="Times New Roman" w:cs="Times New Roman"/>
          <w:b/>
          <w:bCs/>
          <w:kern w:val="36"/>
          <w:sz w:val="28"/>
          <w:szCs w:val="28"/>
          <w:lang w:val="en-US"/>
        </w:rPr>
      </w:pPr>
    </w:p>
    <w:p w:rsidR="005E1C7F" w:rsidRPr="005E1C7F" w:rsidRDefault="005E1C7F" w:rsidP="005E1C7F">
      <w:pPr>
        <w:pStyle w:val="a4"/>
        <w:spacing w:before="0" w:beforeAutospacing="0" w:after="0" w:afterAutospacing="0"/>
        <w:ind w:firstLine="709"/>
        <w:jc w:val="both"/>
        <w:rPr>
          <w:sz w:val="28"/>
          <w:szCs w:val="28"/>
        </w:rPr>
      </w:pPr>
      <w:r w:rsidRPr="005E1C7F">
        <w:rPr>
          <w:rStyle w:val="a5"/>
          <w:sz w:val="28"/>
          <w:szCs w:val="28"/>
        </w:rPr>
        <w:t>Актуальність дослідження зумовлена суперечністю між проголошеною у Базовому ком</w:t>
      </w:r>
      <w:r w:rsidR="003815BA">
        <w:rPr>
          <w:rStyle w:val="a5"/>
          <w:sz w:val="28"/>
          <w:szCs w:val="28"/>
        </w:rPr>
        <w:t>поненті дошкільної освіти (2021</w:t>
      </w:r>
      <w:r w:rsidR="003815BA">
        <w:rPr>
          <w:rStyle w:val="a5"/>
          <w:sz w:val="28"/>
          <w:szCs w:val="28"/>
          <w:lang w:val="en-US"/>
        </w:rPr>
        <w:t>-</w:t>
      </w:r>
      <w:r w:rsidRPr="005E1C7F">
        <w:rPr>
          <w:rStyle w:val="a5"/>
          <w:sz w:val="28"/>
          <w:szCs w:val="28"/>
        </w:rPr>
        <w:t>2024 рр.) дитиноцентричністю та реальною практикою лінійно-ієрархічного управління закладами дошкільної освіти. У контексті післявоєнного відновлення ця невідповідність проявляється особливо виразно: зростає рівень професійного виснаження педагогів, значну частку часу займають бюрократичні процедури, а готовність працівників працювати з дітьми, які мають досвід травматизації, залишається недостатньою. Метою дослідження є теоретичне обґрунтування нової парадигми управління ЗДО, побудованої на синтезі положень радикального конструктивізму, кібернетики другого порядку та концепції розподіленого лідерства. Методологічну основу становлять теоретичний аналіз наукових джерел, компаративне зіставлення міжнародних освітніх підходів (Монтессорі, Реджіо-Емілія, Te Whāriki) та узагал</w:t>
      </w:r>
      <w:r w:rsidR="00E66606">
        <w:rPr>
          <w:rStyle w:val="a5"/>
          <w:sz w:val="28"/>
          <w:szCs w:val="28"/>
        </w:rPr>
        <w:t>ьне</w:t>
      </w:r>
      <w:r w:rsidRPr="005E1C7F">
        <w:rPr>
          <w:rStyle w:val="a5"/>
          <w:sz w:val="28"/>
          <w:szCs w:val="28"/>
        </w:rPr>
        <w:t>ний синтез для моделювання управлінських трансформацій. У результаті розроблено одинадцятипозиційну модель управління, орієнтовану на подолання дисфункцій традиційних систем, підвищення адаптивності та резилієнтності закладу, а також формування демократичної професійної спільноти. Модель пропонує розглядати ЗДО як відкриту, саморегульовану систему, здатну до контекстно чутливих рішень і розвитку.</w:t>
      </w:r>
    </w:p>
    <w:p w:rsidR="005E1C7F" w:rsidRDefault="005E1C7F" w:rsidP="005E1C7F">
      <w:pPr>
        <w:pStyle w:val="a4"/>
        <w:spacing w:before="0" w:beforeAutospacing="0" w:after="0" w:afterAutospacing="0"/>
        <w:ind w:firstLine="709"/>
        <w:jc w:val="both"/>
        <w:rPr>
          <w:rStyle w:val="a5"/>
          <w:sz w:val="28"/>
          <w:szCs w:val="28"/>
        </w:rPr>
      </w:pPr>
      <w:r w:rsidRPr="005E1C7F">
        <w:rPr>
          <w:rStyle w:val="a5"/>
          <w:b/>
          <w:sz w:val="28"/>
          <w:szCs w:val="28"/>
        </w:rPr>
        <w:t>Ключові слова:</w:t>
      </w:r>
      <w:r w:rsidRPr="005E1C7F">
        <w:rPr>
          <w:rStyle w:val="a5"/>
          <w:sz w:val="28"/>
          <w:szCs w:val="28"/>
        </w:rPr>
        <w:t xml:space="preserve"> дошкільна освіта; менеджмент ЗДО; радикальний конструктивізм; кібернетика другого порядку; автопоезис; розподілене лідерство; резилієнтність; демократична спільнота; системна трансформація; дитиноцентричність.</w:t>
      </w:r>
    </w:p>
    <w:p w:rsidR="005E1C7F" w:rsidRPr="005E1C7F" w:rsidRDefault="005E1C7F" w:rsidP="005E1C7F">
      <w:pPr>
        <w:pStyle w:val="a4"/>
        <w:spacing w:before="0" w:beforeAutospacing="0" w:after="0" w:afterAutospacing="0"/>
        <w:ind w:firstLine="709"/>
        <w:jc w:val="both"/>
        <w:rPr>
          <w:rStyle w:val="a5"/>
          <w:sz w:val="28"/>
          <w:szCs w:val="28"/>
        </w:rPr>
      </w:pPr>
    </w:p>
    <w:p w:rsidR="005E1C7F" w:rsidRPr="005E1C7F" w:rsidRDefault="005E1C7F" w:rsidP="005E1C7F">
      <w:pPr>
        <w:pStyle w:val="a4"/>
        <w:spacing w:before="0" w:beforeAutospacing="0" w:after="0" w:afterAutospacing="0"/>
        <w:ind w:firstLine="709"/>
        <w:jc w:val="both"/>
        <w:rPr>
          <w:sz w:val="28"/>
          <w:szCs w:val="28"/>
        </w:rPr>
      </w:pPr>
      <w:r w:rsidRPr="005E1C7F">
        <w:rPr>
          <w:rStyle w:val="a8"/>
          <w:sz w:val="28"/>
          <w:szCs w:val="28"/>
        </w:rPr>
        <w:t>Kushnir Svitlana</w:t>
      </w:r>
      <w:r>
        <w:rPr>
          <w:sz w:val="28"/>
          <w:szCs w:val="28"/>
        </w:rPr>
        <w:t xml:space="preserve">. </w:t>
      </w:r>
      <w:r w:rsidRPr="005E1C7F">
        <w:rPr>
          <w:rStyle w:val="a8"/>
          <w:sz w:val="28"/>
          <w:szCs w:val="28"/>
        </w:rPr>
        <w:t>Management of new-generation early childhood education:</w:t>
      </w:r>
      <w:r>
        <w:rPr>
          <w:b/>
          <w:bCs/>
          <w:sz w:val="28"/>
          <w:szCs w:val="28"/>
        </w:rPr>
        <w:t xml:space="preserve"> </w:t>
      </w:r>
      <w:r w:rsidRPr="005E1C7F">
        <w:rPr>
          <w:rStyle w:val="a8"/>
          <w:sz w:val="28"/>
          <w:szCs w:val="28"/>
        </w:rPr>
        <w:t>constructivism, second-order cybernetics, and distributed leadership as the basis for transformation in the context of post-war recovery</w:t>
      </w:r>
    </w:p>
    <w:p w:rsidR="005E1C7F" w:rsidRPr="005E1C7F" w:rsidRDefault="005E1C7F" w:rsidP="005E1C7F">
      <w:pPr>
        <w:pStyle w:val="a4"/>
        <w:spacing w:before="0" w:beforeAutospacing="0" w:after="0" w:afterAutospacing="0"/>
        <w:ind w:firstLine="709"/>
        <w:jc w:val="both"/>
        <w:rPr>
          <w:sz w:val="28"/>
          <w:szCs w:val="28"/>
        </w:rPr>
      </w:pPr>
    </w:p>
    <w:p w:rsidR="00E66606" w:rsidRDefault="005E1C7F" w:rsidP="00E66606">
      <w:pPr>
        <w:pStyle w:val="a4"/>
        <w:spacing w:before="0" w:beforeAutospacing="0" w:after="0" w:afterAutospacing="0"/>
        <w:ind w:firstLine="709"/>
        <w:jc w:val="both"/>
        <w:rPr>
          <w:rStyle w:val="a5"/>
          <w:rFonts w:eastAsiaTheme="majorEastAsia"/>
          <w:sz w:val="28"/>
          <w:szCs w:val="28"/>
        </w:rPr>
      </w:pPr>
      <w:r w:rsidRPr="005E1C7F">
        <w:rPr>
          <w:rStyle w:val="a5"/>
          <w:rFonts w:eastAsiaTheme="majorEastAsia"/>
          <w:sz w:val="28"/>
          <w:szCs w:val="28"/>
        </w:rPr>
        <w:lastRenderedPageBreak/>
        <w:t>The relevance of this study is determined by the growing discrepancy between the child-centered principles declared in the Basic Compone</w:t>
      </w:r>
      <w:r w:rsidR="003815BA">
        <w:rPr>
          <w:rStyle w:val="a5"/>
          <w:rFonts w:eastAsiaTheme="majorEastAsia"/>
          <w:sz w:val="28"/>
          <w:szCs w:val="28"/>
        </w:rPr>
        <w:t>nt of Preschool Education (2021</w:t>
      </w:r>
      <w:r w:rsidR="003815BA">
        <w:rPr>
          <w:rStyle w:val="a5"/>
          <w:rFonts w:eastAsiaTheme="majorEastAsia"/>
          <w:sz w:val="28"/>
          <w:szCs w:val="28"/>
          <w:lang w:val="en-US"/>
        </w:rPr>
        <w:t>-</w:t>
      </w:r>
      <w:r w:rsidR="003815BA">
        <w:rPr>
          <w:rStyle w:val="a5"/>
          <w:rFonts w:eastAsiaTheme="majorEastAsia"/>
          <w:sz w:val="28"/>
          <w:szCs w:val="28"/>
        </w:rPr>
        <w:t>2024) and the actual linear</w:t>
      </w:r>
      <w:r w:rsidR="003815BA">
        <w:rPr>
          <w:rStyle w:val="a5"/>
          <w:rFonts w:eastAsiaTheme="majorEastAsia"/>
          <w:sz w:val="28"/>
          <w:szCs w:val="28"/>
          <w:lang w:val="en-US"/>
        </w:rPr>
        <w:t>-</w:t>
      </w:r>
      <w:r w:rsidRPr="005E1C7F">
        <w:rPr>
          <w:rStyle w:val="a5"/>
          <w:rFonts w:eastAsiaTheme="majorEastAsia"/>
          <w:sz w:val="28"/>
          <w:szCs w:val="28"/>
        </w:rPr>
        <w:t>hierarchical modes of management that continue to dominate Ukrainian preschool institutions. In the context of post-war recovery, this contradiction becomes particularly evident: educators demonstrate increasing levels of professional burnout, a significant proportion of their working time is devoted to bureaucratic procedures, and their preparedness for working with children who have experienced trauma remains insufficient. The purpose of the study is to provide a theoretical justification for a new paradigm of preschool management grounded in the synthesis of radical constructivism, second-order cybernetics, and distributed leadership. The methodological framework includes theoretical analysis of key scholarly sources, comparative examination of internationally recognized educational approaches (Montessori, Reggio Emilia, Te Whāriki), and integrative synthesis aimed at constructing a comprehensive model of managerial transformation. The study resulted in the development of an eleven-principle management model designed to address the dysfunctions inherent in traditional hierarchical systems, enhance institutional adaptability and resilience, and promote the establishment of a democratic professional community within preschool settings. The model conceptualizes preschool institutions as open, self-regulating systems capable of context-sensitive decision-making and continuous development, thus aligning managerial processes with contemporary expectations of flexibility, responsiveness, and child-centered organization.</w:t>
      </w:r>
    </w:p>
    <w:p w:rsidR="005E1C7F" w:rsidRPr="00063573" w:rsidRDefault="00E66606" w:rsidP="00063573">
      <w:pPr>
        <w:pStyle w:val="a4"/>
        <w:spacing w:before="0" w:beforeAutospacing="0" w:after="0" w:afterAutospacing="0"/>
        <w:ind w:firstLine="709"/>
        <w:jc w:val="both"/>
        <w:rPr>
          <w:i/>
          <w:sz w:val="28"/>
          <w:szCs w:val="28"/>
        </w:rPr>
      </w:pPr>
      <w:r>
        <w:rPr>
          <w:rStyle w:val="a8"/>
          <w:bCs w:val="0"/>
          <w:i/>
          <w:sz w:val="28"/>
          <w:szCs w:val="28"/>
        </w:rPr>
        <w:t>Key words</w:t>
      </w:r>
      <w:r w:rsidR="005E1C7F" w:rsidRPr="00E66606">
        <w:rPr>
          <w:rStyle w:val="a8"/>
          <w:bCs w:val="0"/>
          <w:i/>
          <w:sz w:val="28"/>
          <w:szCs w:val="28"/>
        </w:rPr>
        <w:t>:</w:t>
      </w:r>
      <w:r w:rsidR="00063573">
        <w:rPr>
          <w:i/>
          <w:sz w:val="28"/>
          <w:szCs w:val="28"/>
        </w:rPr>
        <w:t xml:space="preserve"> </w:t>
      </w:r>
      <w:r w:rsidR="005E1C7F" w:rsidRPr="005E1C7F">
        <w:rPr>
          <w:rStyle w:val="a5"/>
          <w:rFonts w:eastAsiaTheme="majorEastAsia"/>
          <w:sz w:val="28"/>
          <w:szCs w:val="28"/>
        </w:rPr>
        <w:t>preschool education; preschool management; radical constructivism; second-order cybernetics; autopoiesis; distributed leadership; resilience; democratic community; systemic transformation; child-centeredness.</w:t>
      </w:r>
    </w:p>
    <w:p w:rsidR="00FC5879" w:rsidRDefault="00FC5879" w:rsidP="002A4D99">
      <w:pPr>
        <w:pStyle w:val="a4"/>
        <w:spacing w:before="0" w:beforeAutospacing="0" w:after="0" w:afterAutospacing="0" w:line="360" w:lineRule="auto"/>
        <w:ind w:firstLine="709"/>
        <w:jc w:val="center"/>
        <w:rPr>
          <w:sz w:val="28"/>
          <w:szCs w:val="28"/>
        </w:rPr>
      </w:pPr>
    </w:p>
    <w:p w:rsidR="00DD5985" w:rsidRPr="009E09F1" w:rsidRDefault="00E66606" w:rsidP="009E09F1">
      <w:pPr>
        <w:pStyle w:val="a4"/>
        <w:spacing w:before="0" w:beforeAutospacing="0" w:after="0" w:afterAutospacing="0" w:line="360" w:lineRule="auto"/>
        <w:ind w:firstLine="709"/>
        <w:jc w:val="both"/>
        <w:rPr>
          <w:sz w:val="28"/>
          <w:szCs w:val="28"/>
        </w:rPr>
      </w:pPr>
      <w:r w:rsidRPr="00E66606">
        <w:rPr>
          <w:b/>
          <w:sz w:val="28"/>
          <w:szCs w:val="28"/>
        </w:rPr>
        <w:t>Вступ</w:t>
      </w:r>
      <w:r>
        <w:rPr>
          <w:sz w:val="28"/>
          <w:szCs w:val="28"/>
        </w:rPr>
        <w:t xml:space="preserve">. </w:t>
      </w:r>
      <w:r w:rsidR="00FC5879" w:rsidRPr="009E09F1">
        <w:rPr>
          <w:sz w:val="28"/>
          <w:szCs w:val="28"/>
        </w:rPr>
        <w:t>Попри дитиноцентричність Базового компонента дошкільної освіти (наказ МОН України № 33 від 12.01.2021), управлінська практика більшості ЗДО України зберігає ознаки лінійно-ієрархічної моделі, що характеризується надмірним документообігом, низькою професійною автономією педагогів та формалізацією освітньо</w:t>
      </w:r>
      <w:r>
        <w:rPr>
          <w:sz w:val="28"/>
          <w:szCs w:val="28"/>
        </w:rPr>
        <w:t>го процесу. Емпіричні дані 2023-</w:t>
      </w:r>
      <w:r w:rsidR="00FC5879" w:rsidRPr="009E09F1">
        <w:rPr>
          <w:sz w:val="28"/>
          <w:szCs w:val="28"/>
        </w:rPr>
        <w:t>2025 рр. свідчать про</w:t>
      </w:r>
      <w:r w:rsidR="00D63046" w:rsidRPr="009E09F1">
        <w:rPr>
          <w:sz w:val="28"/>
          <w:szCs w:val="28"/>
        </w:rPr>
        <w:t xml:space="preserve"> </w:t>
      </w:r>
      <w:r>
        <w:rPr>
          <w:sz w:val="28"/>
          <w:szCs w:val="28"/>
        </w:rPr>
        <w:t>витрати 40-</w:t>
      </w:r>
      <w:r w:rsidR="00FC5879" w:rsidRPr="009E09F1">
        <w:rPr>
          <w:sz w:val="28"/>
          <w:szCs w:val="28"/>
        </w:rPr>
        <w:t>45% робочого часу на бюрократичні процедури та зростання рівня професійного в</w:t>
      </w:r>
      <w:r w:rsidR="00D63046" w:rsidRPr="009E09F1">
        <w:rPr>
          <w:sz w:val="28"/>
          <w:szCs w:val="28"/>
        </w:rPr>
        <w:t>игорання на 34</w:t>
      </w:r>
      <w:r w:rsidR="00FC5879" w:rsidRPr="009E09F1">
        <w:rPr>
          <w:sz w:val="28"/>
          <w:szCs w:val="28"/>
        </w:rPr>
        <w:t xml:space="preserve">% порівняно з довоєнним періодом (звіт ІМЗО, 2024; UNICEF Ukraine, 2025). </w:t>
      </w:r>
      <w:r w:rsidR="00D63046" w:rsidRPr="009E09F1">
        <w:rPr>
          <w:sz w:val="28"/>
          <w:szCs w:val="28"/>
        </w:rPr>
        <w:t xml:space="preserve">Децентралізація та локальне лідерство активно просуваються як відповідь на війну. Polaris Foundation (2025), DECIDE (2024), звіти МОН (2025) наголошують на передачі повноважень громадам, створенні укриттів, </w:t>
      </w:r>
      <w:r w:rsidR="00D63046" w:rsidRPr="009E09F1">
        <w:rPr>
          <w:sz w:val="28"/>
          <w:szCs w:val="28"/>
        </w:rPr>
        <w:lastRenderedPageBreak/>
        <w:t>ремонті зруйнованих ЗДО та залученні місцевих лідерів до відновлення. Проте лідерство розуміється переважно як адміністративна децентралізація, а</w:t>
      </w:r>
      <w:r w:rsidR="00D261F9" w:rsidRPr="009E09F1">
        <w:rPr>
          <w:sz w:val="28"/>
          <w:szCs w:val="28"/>
        </w:rPr>
        <w:t xml:space="preserve"> не як внутрішнє</w:t>
      </w:r>
      <w:r w:rsidR="00D63046" w:rsidRPr="009E09F1">
        <w:rPr>
          <w:sz w:val="28"/>
          <w:szCs w:val="28"/>
        </w:rPr>
        <w:t xml:space="preserve"> розподілене лідерство педагогів, батьків і дітей.</w:t>
      </w:r>
      <w:r w:rsidR="00D261F9" w:rsidRPr="009E09F1">
        <w:rPr>
          <w:sz w:val="28"/>
          <w:szCs w:val="28"/>
        </w:rPr>
        <w:t xml:space="preserve"> Стрімкий розвиток</w:t>
      </w:r>
      <w:r w:rsidR="00D63046" w:rsidRPr="009E09F1">
        <w:rPr>
          <w:sz w:val="28"/>
          <w:szCs w:val="28"/>
        </w:rPr>
        <w:t xml:space="preserve"> </w:t>
      </w:r>
      <w:r w:rsidR="00D261F9" w:rsidRPr="009E09F1">
        <w:rPr>
          <w:sz w:val="28"/>
          <w:szCs w:val="28"/>
        </w:rPr>
        <w:t>цифровізації, завдяки якому охоплено понад 1,2 млн. дітей через п</w:t>
      </w:r>
      <w:r w:rsidR="00D63046" w:rsidRPr="009E09F1">
        <w:rPr>
          <w:sz w:val="28"/>
          <w:szCs w:val="28"/>
        </w:rPr>
        <w:t>латформи «НУМО», «</w:t>
      </w:r>
      <w:r w:rsidR="00D261F9" w:rsidRPr="009E09F1">
        <w:rPr>
          <w:sz w:val="28"/>
          <w:szCs w:val="28"/>
        </w:rPr>
        <w:t>Дія.Освіта</w:t>
      </w:r>
      <w:r w:rsidR="00D63046" w:rsidRPr="009E09F1">
        <w:rPr>
          <w:sz w:val="28"/>
          <w:szCs w:val="28"/>
        </w:rPr>
        <w:t xml:space="preserve">», цифрові журнали </w:t>
      </w:r>
      <w:r w:rsidR="00D261F9" w:rsidRPr="009E09F1">
        <w:rPr>
          <w:sz w:val="28"/>
          <w:szCs w:val="28"/>
        </w:rPr>
        <w:t>та інші інс</w:t>
      </w:r>
      <w:r w:rsidR="00D63046" w:rsidRPr="009E09F1">
        <w:rPr>
          <w:sz w:val="28"/>
          <w:szCs w:val="28"/>
        </w:rPr>
        <w:t>трументи застосовуються здебільшого для трансляції готового контенту та звітності, а не для рекурсивної педагогічної документації чи спільного прийняття рішень.</w:t>
      </w:r>
      <w:r w:rsidR="00C945EE" w:rsidRPr="009E09F1">
        <w:rPr>
          <w:sz w:val="28"/>
          <w:szCs w:val="28"/>
        </w:rPr>
        <w:t xml:space="preserve"> </w:t>
      </w:r>
      <w:r>
        <w:rPr>
          <w:sz w:val="28"/>
          <w:szCs w:val="28"/>
        </w:rPr>
        <w:t>Окремі роботи (Василенко О., 2024; Топузов О.</w:t>
      </w:r>
      <w:r w:rsidR="00D63046" w:rsidRPr="009E09F1">
        <w:rPr>
          <w:sz w:val="28"/>
          <w:szCs w:val="28"/>
        </w:rPr>
        <w:t xml:space="preserve">, 2024) згадують системний підхід і зворотні зв’язки, але не пов’язують їх із дошкільним менеджментом. </w:t>
      </w:r>
      <w:r>
        <w:rPr>
          <w:sz w:val="28"/>
          <w:szCs w:val="28"/>
        </w:rPr>
        <w:t>Дослідження Кравченко Ю., Ростоки </w:t>
      </w:r>
      <w:r w:rsidR="00C945EE" w:rsidRPr="009E09F1">
        <w:rPr>
          <w:sz w:val="28"/>
          <w:szCs w:val="28"/>
        </w:rPr>
        <w:t>М., Лохвицької</w:t>
      </w:r>
      <w:r>
        <w:rPr>
          <w:sz w:val="28"/>
          <w:szCs w:val="28"/>
        </w:rPr>
        <w:t> </w:t>
      </w:r>
      <w:r w:rsidR="00C945EE" w:rsidRPr="009E09F1">
        <w:rPr>
          <w:sz w:val="28"/>
          <w:szCs w:val="28"/>
        </w:rPr>
        <w:t>Л.</w:t>
      </w:r>
      <w:r>
        <w:rPr>
          <w:sz w:val="28"/>
          <w:szCs w:val="28"/>
        </w:rPr>
        <w:t>, Білан </w:t>
      </w:r>
      <w:r w:rsidR="00C945EE" w:rsidRPr="009E09F1">
        <w:rPr>
          <w:sz w:val="28"/>
          <w:szCs w:val="28"/>
        </w:rPr>
        <w:t xml:space="preserve">О. демонструють успішне використання конструктивістських ідей саме на рівні педагогічного процесу (зона найближчого розвитку, проєктна діяльність, ігрове конструювання знань). </w:t>
      </w:r>
      <w:r>
        <w:rPr>
          <w:sz w:val="28"/>
          <w:szCs w:val="28"/>
        </w:rPr>
        <w:t>Добош</w:t>
      </w:r>
      <w:r>
        <w:rPr>
          <w:sz w:val="28"/>
          <w:szCs w:val="28"/>
          <w:lang w:val="en-US"/>
        </w:rPr>
        <w:t> </w:t>
      </w:r>
      <w:r>
        <w:rPr>
          <w:sz w:val="28"/>
          <w:szCs w:val="28"/>
        </w:rPr>
        <w:t>О., Пинзеник</w:t>
      </w:r>
      <w:r>
        <w:rPr>
          <w:sz w:val="28"/>
          <w:szCs w:val="28"/>
          <w:lang w:val="en-US"/>
        </w:rPr>
        <w:t> </w:t>
      </w:r>
      <w:r w:rsidR="00DD5985" w:rsidRPr="009E09F1">
        <w:rPr>
          <w:sz w:val="28"/>
          <w:szCs w:val="28"/>
        </w:rPr>
        <w:t xml:space="preserve">О. (2025) вказують на наявність взаємозв’язку між управлінською ефективністю (плануванням, моніторингом, </w:t>
      </w:r>
      <w:r w:rsidR="00B3103D" w:rsidRPr="009E09F1">
        <w:rPr>
          <w:sz w:val="28"/>
          <w:szCs w:val="28"/>
        </w:rPr>
        <w:t>командною роботою</w:t>
      </w:r>
      <w:r w:rsidR="00DD5985" w:rsidRPr="009E09F1">
        <w:rPr>
          <w:sz w:val="28"/>
          <w:szCs w:val="28"/>
        </w:rPr>
        <w:t>) і підвищенням рівня методичної майстерності (використання інноваційних методик)</w:t>
      </w:r>
      <w:r w:rsidR="00B3103D" w:rsidRPr="009E09F1">
        <w:rPr>
          <w:sz w:val="28"/>
          <w:szCs w:val="28"/>
        </w:rPr>
        <w:t xml:space="preserve">, що підвищує мотивацію персоналу на 25%. </w:t>
      </w:r>
      <w:r w:rsidR="00DD5985" w:rsidRPr="009E09F1">
        <w:rPr>
          <w:sz w:val="28"/>
          <w:szCs w:val="28"/>
        </w:rPr>
        <w:t>Нова українська школа також акцентує на командній роботі педагогів для підвищення якості освіти</w:t>
      </w:r>
      <w:r w:rsidR="00B3103D" w:rsidRPr="009E09F1">
        <w:rPr>
          <w:sz w:val="28"/>
          <w:szCs w:val="28"/>
        </w:rPr>
        <w:t xml:space="preserve">. </w:t>
      </w:r>
    </w:p>
    <w:p w:rsidR="00C945EE" w:rsidRPr="009E09F1" w:rsidRDefault="00B3103D" w:rsidP="009E09F1">
      <w:pPr>
        <w:pStyle w:val="a4"/>
        <w:spacing w:before="0" w:beforeAutospacing="0" w:after="0" w:afterAutospacing="0" w:line="360" w:lineRule="auto"/>
        <w:ind w:firstLine="709"/>
        <w:jc w:val="both"/>
        <w:rPr>
          <w:sz w:val="28"/>
          <w:szCs w:val="28"/>
        </w:rPr>
      </w:pPr>
      <w:r w:rsidRPr="009E09F1">
        <w:rPr>
          <w:sz w:val="28"/>
          <w:szCs w:val="28"/>
        </w:rPr>
        <w:t>Ніколенко</w:t>
      </w:r>
      <w:r w:rsidR="00E66606">
        <w:rPr>
          <w:sz w:val="28"/>
          <w:szCs w:val="28"/>
          <w:lang w:val="en-US"/>
        </w:rPr>
        <w:t> </w:t>
      </w:r>
      <w:r w:rsidRPr="009E09F1">
        <w:rPr>
          <w:sz w:val="28"/>
          <w:szCs w:val="28"/>
        </w:rPr>
        <w:t xml:space="preserve">І. (2025), </w:t>
      </w:r>
      <w:r w:rsidR="00E66606">
        <w:rPr>
          <w:sz w:val="28"/>
          <w:szCs w:val="28"/>
        </w:rPr>
        <w:t>Фасолько</w:t>
      </w:r>
      <w:r w:rsidR="00E66606">
        <w:rPr>
          <w:sz w:val="28"/>
          <w:szCs w:val="28"/>
          <w:lang w:val="en-US"/>
        </w:rPr>
        <w:t> </w:t>
      </w:r>
      <w:r w:rsidR="00DD5985" w:rsidRPr="009E09F1">
        <w:rPr>
          <w:sz w:val="28"/>
          <w:szCs w:val="28"/>
        </w:rPr>
        <w:t>Т. та ін. (</w:t>
      </w:r>
      <w:r w:rsidRPr="009E09F1">
        <w:rPr>
          <w:sz w:val="28"/>
          <w:szCs w:val="28"/>
        </w:rPr>
        <w:t xml:space="preserve">2024) відзначають важливість міждисциплінарної співпраці, розроблення адаптивних стратегії під час командної роботи, що підвищує ефективність інклюзії на 30%. Поняття «розподілене лідерство» вживається лише в контексті громад чи управлінських команд областей, а не всередині колективу ЗДО. </w:t>
      </w:r>
      <w:r w:rsidR="00DD5985" w:rsidRPr="009E09F1">
        <w:rPr>
          <w:sz w:val="28"/>
          <w:szCs w:val="28"/>
        </w:rPr>
        <w:t>Можна сміливо стверджувати, що кібернетика другого порядку та розподілене лідерство залишаються практично відсутніми в сучасному українському управлінському просторі в сфері дошкільної освіти.</w:t>
      </w:r>
    </w:p>
    <w:p w:rsidR="00D63046" w:rsidRPr="00FC5879" w:rsidRDefault="00B3103D" w:rsidP="009E09F1">
      <w:pPr>
        <w:spacing w:after="0" w:line="360" w:lineRule="auto"/>
        <w:ind w:firstLine="709"/>
        <w:jc w:val="both"/>
        <w:rPr>
          <w:rFonts w:ascii="Times New Roman" w:hAnsi="Times New Roman" w:cs="Times New Roman"/>
          <w:sz w:val="28"/>
          <w:szCs w:val="28"/>
        </w:rPr>
      </w:pPr>
      <w:r w:rsidRPr="009E09F1">
        <w:rPr>
          <w:rFonts w:ascii="Times New Roman" w:hAnsi="Times New Roman" w:cs="Times New Roman"/>
          <w:sz w:val="28"/>
          <w:szCs w:val="28"/>
        </w:rPr>
        <w:t xml:space="preserve">Таким чином, вітчизняні наукові </w:t>
      </w:r>
      <w:r w:rsidR="00D63046" w:rsidRPr="009E09F1">
        <w:rPr>
          <w:rFonts w:ascii="Times New Roman" w:hAnsi="Times New Roman" w:cs="Times New Roman"/>
          <w:sz w:val="28"/>
          <w:szCs w:val="28"/>
        </w:rPr>
        <w:t xml:space="preserve">дослідження </w:t>
      </w:r>
      <w:r w:rsidRPr="009E09F1">
        <w:rPr>
          <w:rFonts w:ascii="Times New Roman" w:hAnsi="Times New Roman" w:cs="Times New Roman"/>
          <w:sz w:val="28"/>
          <w:szCs w:val="28"/>
        </w:rPr>
        <w:t xml:space="preserve">фіксують кризу традиційного менеджменту ЗДО (бюрократія, вигорання, низька автономія), але пропонують напрями її подолання в межах переважно </w:t>
      </w:r>
      <w:r w:rsidRPr="009E09F1">
        <w:rPr>
          <w:rFonts w:ascii="Times New Roman" w:hAnsi="Times New Roman" w:cs="Times New Roman"/>
          <w:sz w:val="28"/>
          <w:szCs w:val="28"/>
        </w:rPr>
        <w:lastRenderedPageBreak/>
        <w:t xml:space="preserve">практичного, нормативно-орієнтованого дискурсу </w:t>
      </w:r>
      <w:r w:rsidR="00D63046" w:rsidRPr="009E09F1">
        <w:rPr>
          <w:rFonts w:ascii="Times New Roman" w:hAnsi="Times New Roman" w:cs="Times New Roman"/>
          <w:sz w:val="28"/>
          <w:szCs w:val="28"/>
        </w:rPr>
        <w:t>(дитиноцентричність на рівн</w:t>
      </w:r>
      <w:r w:rsidRPr="009E09F1">
        <w:rPr>
          <w:rFonts w:ascii="Times New Roman" w:hAnsi="Times New Roman" w:cs="Times New Roman"/>
          <w:sz w:val="28"/>
          <w:szCs w:val="28"/>
        </w:rPr>
        <w:t>і занять, децентралізація, цифровізація</w:t>
      </w:r>
      <w:r w:rsidR="00D63046" w:rsidRPr="009E09F1">
        <w:rPr>
          <w:rFonts w:ascii="Times New Roman" w:hAnsi="Times New Roman" w:cs="Times New Roman"/>
          <w:sz w:val="28"/>
          <w:szCs w:val="28"/>
        </w:rPr>
        <w:t xml:space="preserve">), </w:t>
      </w:r>
      <w:r w:rsidRPr="009E09F1">
        <w:rPr>
          <w:rFonts w:ascii="Times New Roman" w:hAnsi="Times New Roman" w:cs="Times New Roman"/>
          <w:sz w:val="28"/>
          <w:szCs w:val="28"/>
        </w:rPr>
        <w:t>не доходячи</w:t>
      </w:r>
      <w:r w:rsidR="00D63046" w:rsidRPr="009E09F1">
        <w:rPr>
          <w:rFonts w:ascii="Times New Roman" w:hAnsi="Times New Roman" w:cs="Times New Roman"/>
          <w:sz w:val="28"/>
          <w:szCs w:val="28"/>
        </w:rPr>
        <w:t xml:space="preserve"> до радикальної зміни самої управлінської парадигми. Запропонована в цій статті конструктивістсько-кібернетична модель із</w:t>
      </w:r>
      <w:r>
        <w:rPr>
          <w:rFonts w:ascii="Times New Roman" w:hAnsi="Times New Roman" w:cs="Times New Roman"/>
          <w:sz w:val="28"/>
          <w:szCs w:val="28"/>
        </w:rPr>
        <w:t xml:space="preserve"> розподіленим лідерством </w:t>
      </w:r>
      <w:r w:rsidR="00D63046" w:rsidRPr="00A32E3B">
        <w:rPr>
          <w:rFonts w:ascii="Times New Roman" w:hAnsi="Times New Roman" w:cs="Times New Roman"/>
          <w:sz w:val="28"/>
          <w:szCs w:val="28"/>
        </w:rPr>
        <w:t>покликана заповнити цю теоретичну та практичну прогалину, переводячи дискусію з рівня «як полагодити стару систему» на рівень «як виростити принципово нову живу, саморегулюючу спільноту».</w:t>
      </w:r>
    </w:p>
    <w:p w:rsidR="00EA07E7" w:rsidRDefault="00DC795B" w:rsidP="00EA07E7">
      <w:pPr>
        <w:pStyle w:val="a4"/>
        <w:spacing w:before="0" w:beforeAutospacing="0" w:after="0" w:afterAutospacing="0" w:line="360" w:lineRule="auto"/>
        <w:ind w:firstLine="709"/>
        <w:jc w:val="both"/>
        <w:rPr>
          <w:sz w:val="28"/>
          <w:szCs w:val="28"/>
        </w:rPr>
      </w:pPr>
      <w:r w:rsidRPr="00DC795B">
        <w:rPr>
          <w:b/>
          <w:sz w:val="28"/>
          <w:szCs w:val="28"/>
        </w:rPr>
        <w:t>Мета та завдання.</w:t>
      </w:r>
      <w:r w:rsidRPr="00DC795B">
        <w:rPr>
          <w:sz w:val="28"/>
          <w:szCs w:val="28"/>
        </w:rPr>
        <w:t xml:space="preserve"> </w:t>
      </w:r>
      <w:r w:rsidR="00F8554D" w:rsidRPr="00EA07E7">
        <w:rPr>
          <w:sz w:val="28"/>
          <w:szCs w:val="28"/>
        </w:rPr>
        <w:t>Метою статті є теоретичне обґрунтування та концептуальна розробка конструктивістсько-кібернетичної моделі менеджменту закладів дошкільної освіти з розподіленим лідерством як системної альтернативи чинній адміністративно-бюрократичній моделі, з урахуванням викликів післявоєнного відновлення та найкращого світового досвіду (метод</w:t>
      </w:r>
      <w:r w:rsidR="00EA07E7">
        <w:rPr>
          <w:sz w:val="28"/>
          <w:szCs w:val="28"/>
        </w:rPr>
        <w:t xml:space="preserve"> Монтессорі, система Реджіо</w:t>
      </w:r>
      <w:r w:rsidR="00F8554D" w:rsidRPr="00EA07E7">
        <w:rPr>
          <w:sz w:val="28"/>
          <w:szCs w:val="28"/>
        </w:rPr>
        <w:t>-Емі</w:t>
      </w:r>
      <w:r w:rsidR="00E66606">
        <w:rPr>
          <w:sz w:val="28"/>
          <w:szCs w:val="28"/>
        </w:rPr>
        <w:t>лія, прогресивна педагогіка Дж.</w:t>
      </w:r>
      <w:r w:rsidR="00E66606">
        <w:rPr>
          <w:sz w:val="28"/>
          <w:szCs w:val="28"/>
          <w:lang w:val="en-US"/>
        </w:rPr>
        <w:t> </w:t>
      </w:r>
      <w:r w:rsidR="00F8554D" w:rsidRPr="00EA07E7">
        <w:rPr>
          <w:sz w:val="28"/>
          <w:szCs w:val="28"/>
        </w:rPr>
        <w:t>Д’юї).</w:t>
      </w:r>
    </w:p>
    <w:p w:rsidR="00EA07E7" w:rsidRPr="00EA07E7" w:rsidRDefault="00EA07E7" w:rsidP="00EA07E7">
      <w:pPr>
        <w:pStyle w:val="a4"/>
        <w:spacing w:before="0" w:beforeAutospacing="0" w:after="0" w:afterAutospacing="0" w:line="360" w:lineRule="auto"/>
        <w:ind w:firstLine="709"/>
        <w:jc w:val="both"/>
        <w:rPr>
          <w:sz w:val="28"/>
          <w:szCs w:val="28"/>
        </w:rPr>
      </w:pPr>
      <w:r w:rsidRPr="00EA07E7">
        <w:rPr>
          <w:b/>
          <w:sz w:val="28"/>
          <w:szCs w:val="28"/>
        </w:rPr>
        <w:t xml:space="preserve">Завдання дослідження  </w:t>
      </w:r>
    </w:p>
    <w:p w:rsidR="00EA07E7" w:rsidRPr="00EA07E7" w:rsidRDefault="00EA07E7" w:rsidP="00EA07E7">
      <w:pPr>
        <w:shd w:val="clear" w:color="auto" w:fill="FFFFFF"/>
        <w:tabs>
          <w:tab w:val="left" w:pos="1134"/>
        </w:tabs>
        <w:spacing w:after="0" w:line="360" w:lineRule="auto"/>
        <w:ind w:firstLine="709"/>
        <w:jc w:val="both"/>
        <w:rPr>
          <w:rFonts w:ascii="Times New Roman" w:hAnsi="Times New Roman" w:cs="Times New Roman"/>
          <w:sz w:val="28"/>
          <w:szCs w:val="28"/>
        </w:rPr>
      </w:pPr>
      <w:r w:rsidRPr="00EA07E7">
        <w:rPr>
          <w:rFonts w:ascii="Times New Roman" w:hAnsi="Times New Roman" w:cs="Times New Roman"/>
          <w:sz w:val="28"/>
          <w:szCs w:val="28"/>
        </w:rPr>
        <w:t>1. Проаналізувати сучасний стан управлінської діяльності ЗДО України на основі норма</w:t>
      </w:r>
      <w:r w:rsidR="00E66606">
        <w:rPr>
          <w:rFonts w:ascii="Times New Roman" w:hAnsi="Times New Roman" w:cs="Times New Roman"/>
          <w:sz w:val="28"/>
          <w:szCs w:val="28"/>
        </w:rPr>
        <w:t>тивно-правових документів (2021</w:t>
      </w:r>
      <w:r w:rsidR="00E66606" w:rsidRPr="00E66606">
        <w:rPr>
          <w:rFonts w:ascii="Times New Roman" w:hAnsi="Times New Roman" w:cs="Times New Roman"/>
          <w:sz w:val="28"/>
          <w:szCs w:val="28"/>
        </w:rPr>
        <w:t>-</w:t>
      </w:r>
      <w:r w:rsidRPr="00EA07E7">
        <w:rPr>
          <w:rFonts w:ascii="Times New Roman" w:hAnsi="Times New Roman" w:cs="Times New Roman"/>
          <w:sz w:val="28"/>
          <w:szCs w:val="28"/>
        </w:rPr>
        <w:t xml:space="preserve">2025 рр.) та емпіричних даних, виявивши ключові дисфункції традиційної моделі (надмірний документообіг, низька автономія, вигорання).  </w:t>
      </w:r>
    </w:p>
    <w:p w:rsidR="00EA07E7" w:rsidRPr="00EA07E7" w:rsidRDefault="00EA07E7" w:rsidP="00EA07E7">
      <w:pPr>
        <w:shd w:val="clear" w:color="auto" w:fill="FFFFFF"/>
        <w:tabs>
          <w:tab w:val="left" w:pos="1134"/>
        </w:tabs>
        <w:spacing w:after="0" w:line="360" w:lineRule="auto"/>
        <w:ind w:firstLine="709"/>
        <w:jc w:val="both"/>
        <w:rPr>
          <w:rFonts w:ascii="Times New Roman" w:hAnsi="Times New Roman" w:cs="Times New Roman"/>
          <w:sz w:val="28"/>
          <w:szCs w:val="28"/>
        </w:rPr>
      </w:pPr>
      <w:r w:rsidRPr="00EA07E7">
        <w:rPr>
          <w:rFonts w:ascii="Times New Roman" w:hAnsi="Times New Roman" w:cs="Times New Roman"/>
          <w:sz w:val="28"/>
          <w:szCs w:val="28"/>
        </w:rPr>
        <w:t xml:space="preserve">2. Здійснити теоретичний огляд та синтез ключових концептів радикального конструктивізму, кібернетики другого порядку та теорії розподіленого лідерства як основи нової управлінської парадигми.  </w:t>
      </w:r>
    </w:p>
    <w:p w:rsidR="00EA07E7" w:rsidRPr="00EA07E7" w:rsidRDefault="00EA07E7" w:rsidP="00EA07E7">
      <w:pPr>
        <w:shd w:val="clear" w:color="auto" w:fill="FFFFFF"/>
        <w:tabs>
          <w:tab w:val="left" w:pos="1134"/>
        </w:tabs>
        <w:spacing w:after="0" w:line="360" w:lineRule="auto"/>
        <w:ind w:firstLine="709"/>
        <w:jc w:val="both"/>
        <w:rPr>
          <w:rFonts w:ascii="Times New Roman" w:hAnsi="Times New Roman" w:cs="Times New Roman"/>
          <w:sz w:val="28"/>
          <w:szCs w:val="28"/>
        </w:rPr>
      </w:pPr>
      <w:r w:rsidRPr="00EA07E7">
        <w:rPr>
          <w:rFonts w:ascii="Times New Roman" w:hAnsi="Times New Roman" w:cs="Times New Roman"/>
          <w:sz w:val="28"/>
          <w:szCs w:val="28"/>
        </w:rPr>
        <w:t xml:space="preserve">3. Провести компаративний аналіз трьох еталонних дитиноцентричних підходів (Монтессорі, Реджіо-Емілія, Д’юї) як емпіричних реалізацій конструктивістсько-кібернетичних принципів.  </w:t>
      </w:r>
    </w:p>
    <w:p w:rsidR="00EA07E7" w:rsidRPr="00E66606" w:rsidRDefault="00EA07E7" w:rsidP="00E66606">
      <w:pPr>
        <w:shd w:val="clear" w:color="auto" w:fill="FFFFFF"/>
        <w:tabs>
          <w:tab w:val="left" w:pos="1134"/>
        </w:tabs>
        <w:spacing w:after="0" w:line="360" w:lineRule="auto"/>
        <w:ind w:firstLine="709"/>
        <w:jc w:val="both"/>
        <w:rPr>
          <w:rFonts w:ascii="Times New Roman" w:hAnsi="Times New Roman" w:cs="Times New Roman"/>
          <w:sz w:val="28"/>
          <w:szCs w:val="28"/>
          <w:lang w:val="ru-RU"/>
        </w:rPr>
      </w:pPr>
      <w:r w:rsidRPr="00EA07E7">
        <w:rPr>
          <w:rFonts w:ascii="Times New Roman" w:hAnsi="Times New Roman" w:cs="Times New Roman"/>
          <w:sz w:val="28"/>
          <w:szCs w:val="28"/>
        </w:rPr>
        <w:t xml:space="preserve">4. Розробити інтегративну модель трансформації менеджменту ЗДО та обґрунтувати її структурно-функціональні характеристики.  </w:t>
      </w:r>
    </w:p>
    <w:p w:rsidR="002A4D99" w:rsidRPr="009B4168" w:rsidRDefault="00DC795B" w:rsidP="00EA07E7">
      <w:pPr>
        <w:shd w:val="clear" w:color="auto" w:fill="FFFFFF"/>
        <w:spacing w:after="0" w:line="360" w:lineRule="auto"/>
        <w:ind w:firstLine="708"/>
        <w:jc w:val="both"/>
        <w:rPr>
          <w:rFonts w:ascii="Times New Roman" w:eastAsia="Times New Roman" w:hAnsi="Times New Roman" w:cs="Times New Roman"/>
          <w:sz w:val="24"/>
          <w:szCs w:val="24"/>
        </w:rPr>
      </w:pPr>
      <w:r w:rsidRPr="002A4D99">
        <w:rPr>
          <w:rFonts w:ascii="Times New Roman" w:hAnsi="Times New Roman" w:cs="Times New Roman"/>
          <w:b/>
          <w:sz w:val="28"/>
          <w:szCs w:val="28"/>
        </w:rPr>
        <w:t xml:space="preserve">Методи </w:t>
      </w:r>
      <w:r w:rsidRPr="00EA07E7">
        <w:rPr>
          <w:rFonts w:ascii="Times New Roman" w:hAnsi="Times New Roman" w:cs="Times New Roman"/>
          <w:b/>
          <w:sz w:val="28"/>
          <w:szCs w:val="28"/>
        </w:rPr>
        <w:t>дослідження</w:t>
      </w:r>
      <w:r w:rsidR="002A4D99" w:rsidRPr="00EA07E7">
        <w:rPr>
          <w:rFonts w:ascii="Times New Roman" w:hAnsi="Times New Roman" w:cs="Times New Roman"/>
          <w:b/>
          <w:sz w:val="28"/>
          <w:szCs w:val="28"/>
        </w:rPr>
        <w:t>:</w:t>
      </w:r>
      <w:r w:rsidR="002A4D99" w:rsidRPr="00EA07E7">
        <w:rPr>
          <w:rFonts w:ascii="Times New Roman" w:hAnsi="Times New Roman" w:cs="Times New Roman"/>
          <w:sz w:val="28"/>
          <w:szCs w:val="28"/>
        </w:rPr>
        <w:t xml:space="preserve"> </w:t>
      </w:r>
      <w:r w:rsidR="002A4D99" w:rsidRPr="00EA07E7">
        <w:rPr>
          <w:rFonts w:ascii="Times New Roman" w:eastAsia="Times New Roman" w:hAnsi="Times New Roman" w:cs="Times New Roman"/>
          <w:color w:val="000000"/>
          <w:sz w:val="28"/>
          <w:szCs w:val="28"/>
          <w:shd w:val="clear" w:color="auto" w:fill="FFFFFF"/>
        </w:rPr>
        <w:t>теоретичний аналіз наукових джерел (вітчизняних та зарубіжних);</w:t>
      </w:r>
      <w:r w:rsidR="00EA07E7" w:rsidRPr="00EA07E7">
        <w:rPr>
          <w:rFonts w:ascii="Times New Roman" w:hAnsi="Times New Roman" w:cs="Times New Roman"/>
          <w:sz w:val="28"/>
          <w:szCs w:val="28"/>
        </w:rPr>
        <w:t xml:space="preserve"> системний і компаративний аналіз міжнародних дитиноцентричних практик; синтез і моделювання (для </w:t>
      </w:r>
      <w:r w:rsidR="00EA07E7" w:rsidRPr="00EA07E7">
        <w:rPr>
          <w:rFonts w:ascii="Times New Roman" w:hAnsi="Times New Roman" w:cs="Times New Roman"/>
          <w:sz w:val="28"/>
          <w:szCs w:val="28"/>
        </w:rPr>
        <w:lastRenderedPageBreak/>
        <w:t>побудови інтегративної моделі);</w:t>
      </w:r>
      <w:r w:rsidR="002A4D99" w:rsidRPr="00EA07E7">
        <w:rPr>
          <w:rFonts w:ascii="Times New Roman" w:eastAsia="Times New Roman" w:hAnsi="Times New Roman" w:cs="Times New Roman"/>
          <w:color w:val="000000"/>
          <w:sz w:val="28"/>
          <w:szCs w:val="28"/>
          <w:shd w:val="clear" w:color="auto" w:fill="FFFFFF"/>
        </w:rPr>
        <w:t xml:space="preserve"> </w:t>
      </w:r>
      <w:r w:rsidR="00EA07E7" w:rsidRPr="00EA07E7">
        <w:rPr>
          <w:rFonts w:ascii="Times New Roman" w:hAnsi="Times New Roman" w:cs="Times New Roman"/>
          <w:sz w:val="28"/>
          <w:szCs w:val="28"/>
        </w:rPr>
        <w:t>узагальнення емпіричних даних українських досліджень (звіти ІМЗО, UNICEF, DECIDE, Polaris Foundation, 2023–2025 рр.) та власних опитувань (2024–2025).</w:t>
      </w:r>
      <w:r w:rsidR="00EA07E7" w:rsidRPr="00EA07E7">
        <w:rPr>
          <w:rFonts w:ascii="Times New Roman" w:hAnsi="Times New Roman" w:cs="Times New Roman"/>
          <w:b/>
          <w:sz w:val="28"/>
          <w:szCs w:val="28"/>
        </w:rPr>
        <w:t xml:space="preserve"> </w:t>
      </w:r>
    </w:p>
    <w:p w:rsidR="00F8554D" w:rsidRDefault="00F8554D" w:rsidP="00F8554D">
      <w:pPr>
        <w:spacing w:after="0" w:line="360" w:lineRule="auto"/>
        <w:ind w:firstLine="709"/>
        <w:jc w:val="both"/>
        <w:rPr>
          <w:rFonts w:ascii="Times New Roman" w:eastAsia="Times New Roman" w:hAnsi="Times New Roman" w:cs="Times New Roman"/>
          <w:b/>
          <w:bCs/>
          <w:color w:val="000000"/>
          <w:sz w:val="28"/>
          <w:szCs w:val="28"/>
          <w:shd w:val="clear" w:color="auto" w:fill="FFFFFF"/>
        </w:rPr>
      </w:pPr>
      <w:r w:rsidRPr="009B4168">
        <w:rPr>
          <w:rFonts w:ascii="Times New Roman" w:eastAsia="Times New Roman" w:hAnsi="Times New Roman" w:cs="Times New Roman"/>
          <w:b/>
          <w:bCs/>
          <w:color w:val="000000"/>
          <w:sz w:val="28"/>
          <w:szCs w:val="28"/>
          <w:shd w:val="clear" w:color="auto" w:fill="FFFFFF"/>
        </w:rPr>
        <w:t>Виклад</w:t>
      </w:r>
      <w:r w:rsidR="002E5F1B">
        <w:rPr>
          <w:rFonts w:ascii="Times New Roman" w:eastAsia="Times New Roman" w:hAnsi="Times New Roman" w:cs="Times New Roman"/>
          <w:b/>
          <w:bCs/>
          <w:color w:val="000000"/>
          <w:sz w:val="28"/>
          <w:szCs w:val="28"/>
          <w:shd w:val="clear" w:color="auto" w:fill="FFFFFF"/>
        </w:rPr>
        <w:t xml:space="preserve"> основного матеріалу дослідження</w:t>
      </w:r>
    </w:p>
    <w:p w:rsidR="00341F59" w:rsidRPr="00E33718" w:rsidRDefault="00341F59" w:rsidP="00341F59">
      <w:pPr>
        <w:spacing w:after="0" w:line="360" w:lineRule="auto"/>
        <w:ind w:firstLine="709"/>
        <w:jc w:val="both"/>
        <w:rPr>
          <w:rFonts w:ascii="Times New Roman" w:eastAsia="Times New Roman" w:hAnsi="Times New Roman" w:cs="Times New Roman"/>
          <w:sz w:val="28"/>
          <w:szCs w:val="28"/>
        </w:rPr>
      </w:pPr>
      <w:r w:rsidRPr="00E33718">
        <w:rPr>
          <w:rFonts w:ascii="Times New Roman" w:eastAsia="Times New Roman" w:hAnsi="Times New Roman" w:cs="Times New Roman"/>
          <w:sz w:val="28"/>
          <w:szCs w:val="28"/>
        </w:rPr>
        <w:t>Сучасна криза традиційного менеджменту закладів дошкільної освіти (ЗДО) в Україні зумовлена фундаментальною невідповідністю між декларативною дитиноцентричністю нормативних документів (Базовий компонент дошкільної освіти, 2021 зі змінами 2024 р.; Закон України «Про дошкільну освіту», 2024) та реальною практикою лінійно-ієрархічного, бюрократичного управління (Лохвицька, 2024; Білан, 2023; Гладкова, 2024). Для подолання цієї суперечності необхідний принципово новий теоретичний фундамент, здатний пояснити ЗДО не як механістичну організацію, керовану зовнішніми директивами, а як живу, самоорганізуючу систему, де знання конструюється, влада розподіляється, а взаємодія базується на рекурсивній рефлексії (von Glasersfeld, 1995; Maturana &amp; Varela, 1980; Spillane, 2006). Таким фу</w:t>
      </w:r>
      <w:r w:rsidR="00E33718">
        <w:rPr>
          <w:rFonts w:ascii="Times New Roman" w:eastAsia="Times New Roman" w:hAnsi="Times New Roman" w:cs="Times New Roman"/>
          <w:sz w:val="28"/>
          <w:szCs w:val="28"/>
        </w:rPr>
        <w:t xml:space="preserve">ндаментом є синтез </w:t>
      </w:r>
      <w:r w:rsidRPr="00E33718">
        <w:rPr>
          <w:rFonts w:ascii="Times New Roman" w:eastAsia="Times New Roman" w:hAnsi="Times New Roman" w:cs="Times New Roman"/>
          <w:sz w:val="28"/>
          <w:szCs w:val="28"/>
        </w:rPr>
        <w:t>конструктивізму, кібернетики другого порядку та теорії розподіленого лідерства.</w:t>
      </w:r>
    </w:p>
    <w:p w:rsidR="00341F59" w:rsidRPr="00E33718" w:rsidRDefault="00E33718" w:rsidP="00E33718">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w:t>
      </w:r>
      <w:r w:rsidR="00341F59" w:rsidRPr="00E33718">
        <w:rPr>
          <w:rFonts w:ascii="Times New Roman" w:eastAsia="Times New Roman" w:hAnsi="Times New Roman" w:cs="Times New Roman"/>
          <w:sz w:val="28"/>
          <w:szCs w:val="28"/>
        </w:rPr>
        <w:t>онструктивізм як онтологічна та епістемологічна основа дитиноцентричного менеджменту</w:t>
      </w:r>
      <w:r>
        <w:rPr>
          <w:rFonts w:ascii="Times New Roman" w:eastAsia="Times New Roman" w:hAnsi="Times New Roman" w:cs="Times New Roman"/>
          <w:sz w:val="28"/>
          <w:szCs w:val="28"/>
        </w:rPr>
        <w:t xml:space="preserve"> своїми коріннями йде з класичної конструктивістської парадигми</w:t>
      </w:r>
      <w:r w:rsidR="00341F59" w:rsidRPr="00E33718">
        <w:rPr>
          <w:rFonts w:ascii="Times New Roman" w:eastAsia="Times New Roman" w:hAnsi="Times New Roman" w:cs="Times New Roman"/>
          <w:sz w:val="28"/>
          <w:szCs w:val="28"/>
        </w:rPr>
        <w:t xml:space="preserve"> (Піаже, 1954; </w:t>
      </w:r>
      <w:r>
        <w:rPr>
          <w:rFonts w:ascii="Times New Roman" w:eastAsia="Times New Roman" w:hAnsi="Times New Roman" w:cs="Times New Roman"/>
          <w:sz w:val="28"/>
          <w:szCs w:val="28"/>
        </w:rPr>
        <w:t>Bruner, 1966). Представники цієї парадигми стверджують</w:t>
      </w:r>
      <w:r w:rsidR="00341F59" w:rsidRPr="00E33718">
        <w:rPr>
          <w:rFonts w:ascii="Times New Roman" w:eastAsia="Times New Roman" w:hAnsi="Times New Roman" w:cs="Times New Roman"/>
          <w:sz w:val="28"/>
          <w:szCs w:val="28"/>
        </w:rPr>
        <w:t>, що пізнання є активним процесом конструювання когнітивних структур суб’єктом че</w:t>
      </w:r>
      <w:r w:rsidR="00020516">
        <w:rPr>
          <w:rFonts w:ascii="Times New Roman" w:eastAsia="Times New Roman" w:hAnsi="Times New Roman" w:cs="Times New Roman"/>
          <w:sz w:val="28"/>
          <w:szCs w:val="28"/>
        </w:rPr>
        <w:t>рез взаємодію з середовищем. Ж. </w:t>
      </w:r>
      <w:r w:rsidR="00341F59" w:rsidRPr="00E33718">
        <w:rPr>
          <w:rFonts w:ascii="Times New Roman" w:eastAsia="Times New Roman" w:hAnsi="Times New Roman" w:cs="Times New Roman"/>
          <w:sz w:val="28"/>
          <w:szCs w:val="28"/>
        </w:rPr>
        <w:t>Піаже описував розвиток як послідовність стадій асиміляції та акомода</w:t>
      </w:r>
      <w:r w:rsidR="00020516">
        <w:rPr>
          <w:rFonts w:ascii="Times New Roman" w:eastAsia="Times New Roman" w:hAnsi="Times New Roman" w:cs="Times New Roman"/>
          <w:sz w:val="28"/>
          <w:szCs w:val="28"/>
        </w:rPr>
        <w:t>ції (Piaget, 1970), тоді як Л. </w:t>
      </w:r>
      <w:r w:rsidR="00341F59" w:rsidRPr="00E33718">
        <w:rPr>
          <w:rFonts w:ascii="Times New Roman" w:eastAsia="Times New Roman" w:hAnsi="Times New Roman" w:cs="Times New Roman"/>
          <w:sz w:val="28"/>
          <w:szCs w:val="28"/>
        </w:rPr>
        <w:t>Виготський вводив соціальний вимір, підкреслюючи роль зони найближчого розвитку та культурної медіації (Vygotsky, 1978; Wertsch, 1985).</w:t>
      </w:r>
    </w:p>
    <w:p w:rsidR="00341F59" w:rsidRPr="00E33718" w:rsidRDefault="00341F59" w:rsidP="00E33718">
      <w:pPr>
        <w:spacing w:after="0" w:line="360" w:lineRule="auto"/>
        <w:ind w:firstLine="709"/>
        <w:jc w:val="both"/>
        <w:rPr>
          <w:rFonts w:ascii="Times New Roman" w:eastAsia="Times New Roman" w:hAnsi="Times New Roman" w:cs="Times New Roman"/>
          <w:sz w:val="28"/>
          <w:szCs w:val="28"/>
        </w:rPr>
      </w:pPr>
      <w:r w:rsidRPr="00E33718">
        <w:rPr>
          <w:rFonts w:ascii="Times New Roman" w:eastAsia="Times New Roman" w:hAnsi="Times New Roman" w:cs="Times New Roman"/>
          <w:sz w:val="28"/>
          <w:szCs w:val="28"/>
        </w:rPr>
        <w:t xml:space="preserve">Радикальний конструктивізм Ернста фон Глазерсфельда (von Glasersfeld, 1989, 1995) радикально змінює парадигму: знання не є об’єктивною репрезентацією реальності, а суб’єктивними життєздатними </w:t>
      </w:r>
      <w:r w:rsidRPr="00E33718">
        <w:rPr>
          <w:rFonts w:ascii="Times New Roman" w:eastAsia="Times New Roman" w:hAnsi="Times New Roman" w:cs="Times New Roman"/>
          <w:sz w:val="28"/>
          <w:szCs w:val="28"/>
        </w:rPr>
        <w:lastRenderedPageBreak/>
        <w:t>конструкціями (viable constructions), що перевіряються в досвіді (von Glasersfeld, 1990; Riegler, 2005). У дошкільній освіті це означає визнання дитини первинним агентом власного розвитку (Kamii, 1985; DeVries et a</w:t>
      </w:r>
      <w:r w:rsidR="00E33718">
        <w:rPr>
          <w:rFonts w:ascii="Times New Roman" w:eastAsia="Times New Roman" w:hAnsi="Times New Roman" w:cs="Times New Roman"/>
          <w:sz w:val="28"/>
          <w:szCs w:val="28"/>
        </w:rPr>
        <w:t>l., 2002; Forman &amp; Fyfe, 2012), відповідно, з</w:t>
      </w:r>
      <w:r w:rsidRPr="00E33718">
        <w:rPr>
          <w:rFonts w:ascii="Times New Roman" w:eastAsia="Times New Roman" w:hAnsi="Times New Roman" w:cs="Times New Roman"/>
          <w:sz w:val="28"/>
          <w:szCs w:val="28"/>
        </w:rPr>
        <w:t>авдання закл</w:t>
      </w:r>
      <w:r w:rsidR="00E33718">
        <w:rPr>
          <w:rFonts w:ascii="Times New Roman" w:eastAsia="Times New Roman" w:hAnsi="Times New Roman" w:cs="Times New Roman"/>
          <w:sz w:val="28"/>
          <w:szCs w:val="28"/>
        </w:rPr>
        <w:t>аду дошкільної освіти передбачає не «навчання за програмою», а створення умов</w:t>
      </w:r>
      <w:r w:rsidRPr="00E33718">
        <w:rPr>
          <w:rFonts w:ascii="Times New Roman" w:eastAsia="Times New Roman" w:hAnsi="Times New Roman" w:cs="Times New Roman"/>
          <w:sz w:val="28"/>
          <w:szCs w:val="28"/>
        </w:rPr>
        <w:t xml:space="preserve"> для самостійного конструювання </w:t>
      </w:r>
      <w:r w:rsidR="00E33718">
        <w:rPr>
          <w:rFonts w:ascii="Times New Roman" w:eastAsia="Times New Roman" w:hAnsi="Times New Roman" w:cs="Times New Roman"/>
          <w:sz w:val="28"/>
          <w:szCs w:val="28"/>
        </w:rPr>
        <w:t xml:space="preserve">знань і компетентностей </w:t>
      </w:r>
      <w:r w:rsidRPr="00E33718">
        <w:rPr>
          <w:rFonts w:ascii="Times New Roman" w:eastAsia="Times New Roman" w:hAnsi="Times New Roman" w:cs="Times New Roman"/>
          <w:sz w:val="28"/>
          <w:szCs w:val="28"/>
        </w:rPr>
        <w:t>(Lillard, 2017;</w:t>
      </w:r>
      <w:r w:rsidR="00E33718">
        <w:rPr>
          <w:rFonts w:ascii="Times New Roman" w:eastAsia="Times New Roman" w:hAnsi="Times New Roman" w:cs="Times New Roman"/>
          <w:sz w:val="28"/>
          <w:szCs w:val="28"/>
        </w:rPr>
        <w:t xml:space="preserve"> Duckworth, 2006; Fosnot, 2005), залученості дітей</w:t>
      </w:r>
      <w:r w:rsidRPr="00E33718">
        <w:rPr>
          <w:rFonts w:ascii="Times New Roman" w:eastAsia="Times New Roman" w:hAnsi="Times New Roman" w:cs="Times New Roman"/>
          <w:sz w:val="28"/>
          <w:szCs w:val="28"/>
        </w:rPr>
        <w:t xml:space="preserve"> та зниження формалізму (Гладкова, 2024; Білан, 2023). </w:t>
      </w:r>
    </w:p>
    <w:p w:rsidR="00341F59" w:rsidRPr="00E33718" w:rsidRDefault="00341F59" w:rsidP="00C55DCB">
      <w:pPr>
        <w:spacing w:after="0" w:line="360" w:lineRule="auto"/>
        <w:ind w:firstLine="709"/>
        <w:jc w:val="both"/>
        <w:rPr>
          <w:rFonts w:ascii="Times New Roman" w:eastAsia="Times New Roman" w:hAnsi="Times New Roman" w:cs="Times New Roman"/>
          <w:sz w:val="28"/>
          <w:szCs w:val="28"/>
        </w:rPr>
      </w:pPr>
      <w:r w:rsidRPr="00E33718">
        <w:rPr>
          <w:rFonts w:ascii="Times New Roman" w:eastAsia="Times New Roman" w:hAnsi="Times New Roman" w:cs="Times New Roman"/>
          <w:sz w:val="28"/>
          <w:szCs w:val="28"/>
        </w:rPr>
        <w:t xml:space="preserve">Наслідки </w:t>
      </w:r>
      <w:r w:rsidR="00E33718">
        <w:rPr>
          <w:rFonts w:ascii="Times New Roman" w:eastAsia="Times New Roman" w:hAnsi="Times New Roman" w:cs="Times New Roman"/>
          <w:sz w:val="28"/>
          <w:szCs w:val="28"/>
        </w:rPr>
        <w:t xml:space="preserve">конструктивістського підходу для менеджменту передбачають відмову від принципу директивності, оскільки </w:t>
      </w:r>
      <w:r w:rsidRPr="00E33718">
        <w:rPr>
          <w:rFonts w:ascii="Times New Roman" w:eastAsia="Times New Roman" w:hAnsi="Times New Roman" w:cs="Times New Roman"/>
          <w:sz w:val="28"/>
          <w:szCs w:val="28"/>
        </w:rPr>
        <w:t>директивні плани суперечать принципу автономного конструювання (Kamii, 2000; Edwards et al., 2012). Керівник і педагог стають фасилітатора</w:t>
      </w:r>
      <w:r w:rsidR="00E33718">
        <w:rPr>
          <w:rFonts w:ascii="Times New Roman" w:eastAsia="Times New Roman" w:hAnsi="Times New Roman" w:cs="Times New Roman"/>
          <w:sz w:val="28"/>
          <w:szCs w:val="28"/>
        </w:rPr>
        <w:t>ми середовища, а оцінка якості відбувається шляхом</w:t>
      </w:r>
      <w:r w:rsidRPr="00E33718">
        <w:rPr>
          <w:rFonts w:ascii="Times New Roman" w:eastAsia="Times New Roman" w:hAnsi="Times New Roman" w:cs="Times New Roman"/>
          <w:sz w:val="28"/>
          <w:szCs w:val="28"/>
        </w:rPr>
        <w:t xml:space="preserve"> спостереженням за процесами конструювання (Brooks &amp; Brooks, 1999; Richardson, 2003).</w:t>
      </w:r>
    </w:p>
    <w:p w:rsidR="00341F59" w:rsidRPr="00E33718" w:rsidRDefault="00E33718" w:rsidP="00341F59">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Найбільш істотним напрямком конструктивістської парадигми є к</w:t>
      </w:r>
      <w:r w:rsidR="00341F59" w:rsidRPr="00E33718">
        <w:rPr>
          <w:rFonts w:ascii="Times New Roman" w:eastAsia="Times New Roman" w:hAnsi="Times New Roman" w:cs="Times New Roman"/>
          <w:sz w:val="28"/>
          <w:szCs w:val="28"/>
        </w:rPr>
        <w:t>ібернетика другог</w:t>
      </w:r>
      <w:r>
        <w:rPr>
          <w:rFonts w:ascii="Times New Roman" w:eastAsia="Times New Roman" w:hAnsi="Times New Roman" w:cs="Times New Roman"/>
          <w:sz w:val="28"/>
          <w:szCs w:val="28"/>
        </w:rPr>
        <w:t>о порядку та теорія автопоезису. Саме вони можуть слугувати основою</w:t>
      </w:r>
      <w:r w:rsidR="00341F59" w:rsidRPr="00E33718">
        <w:rPr>
          <w:rFonts w:ascii="Times New Roman" w:eastAsia="Times New Roman" w:hAnsi="Times New Roman" w:cs="Times New Roman"/>
          <w:sz w:val="28"/>
          <w:szCs w:val="28"/>
        </w:rPr>
        <w:t xml:space="preserve"> системного розуміння ЗДО</w:t>
      </w:r>
      <w:r>
        <w:rPr>
          <w:rFonts w:ascii="Times New Roman" w:eastAsia="Times New Roman" w:hAnsi="Times New Roman" w:cs="Times New Roman"/>
          <w:sz w:val="28"/>
          <w:szCs w:val="28"/>
        </w:rPr>
        <w:t xml:space="preserve">. </w:t>
      </w:r>
      <w:r w:rsidR="00341F59" w:rsidRPr="00E33718">
        <w:rPr>
          <w:rFonts w:ascii="Times New Roman" w:eastAsia="Times New Roman" w:hAnsi="Times New Roman" w:cs="Times New Roman"/>
          <w:sz w:val="28"/>
          <w:szCs w:val="28"/>
        </w:rPr>
        <w:t>Класична кібернетика першого порядку (Wiener, 1948; Ashby, 1956) розглядала системи як об’єкти зовнішнього управління. Кібернетика другого порядку (Foerster, 1974, 2003; Bateson, 1972; Pask, 1976) включає спостерігача в систему, стверджуючи її операційну з</w:t>
      </w:r>
      <w:r>
        <w:rPr>
          <w:rFonts w:ascii="Times New Roman" w:eastAsia="Times New Roman" w:hAnsi="Times New Roman" w:cs="Times New Roman"/>
          <w:sz w:val="28"/>
          <w:szCs w:val="28"/>
        </w:rPr>
        <w:t>амкненість. Г. Матурана та Ф. </w:t>
      </w:r>
      <w:r w:rsidR="00341F59" w:rsidRPr="00E33718">
        <w:rPr>
          <w:rFonts w:ascii="Times New Roman" w:eastAsia="Times New Roman" w:hAnsi="Times New Roman" w:cs="Times New Roman"/>
          <w:sz w:val="28"/>
          <w:szCs w:val="28"/>
        </w:rPr>
        <w:t>Варела (Maturana &amp; Varela, 1980, 1987) ввели поняття автопоезису: жива система підтримує власну організацію через внутрішні процеси (Maturana, 1988; Mingers, 1995; Luhmann, 1995).</w:t>
      </w:r>
      <w:r w:rsidR="00020516">
        <w:rPr>
          <w:rFonts w:ascii="Times New Roman" w:eastAsia="Times New Roman" w:hAnsi="Times New Roman" w:cs="Times New Roman"/>
          <w:sz w:val="28"/>
          <w:szCs w:val="28"/>
        </w:rPr>
        <w:t xml:space="preserve"> </w:t>
      </w:r>
      <w:r w:rsidR="00341F59" w:rsidRPr="00E33718">
        <w:rPr>
          <w:rFonts w:ascii="Times New Roman" w:eastAsia="Times New Roman" w:hAnsi="Times New Roman" w:cs="Times New Roman"/>
          <w:sz w:val="28"/>
          <w:szCs w:val="28"/>
        </w:rPr>
        <w:t xml:space="preserve">У контексті </w:t>
      </w:r>
      <w:r w:rsidR="00020516">
        <w:rPr>
          <w:rFonts w:ascii="Times New Roman" w:eastAsia="Times New Roman" w:hAnsi="Times New Roman" w:cs="Times New Roman"/>
          <w:sz w:val="28"/>
          <w:szCs w:val="28"/>
        </w:rPr>
        <w:t xml:space="preserve">кібернетики другого порядку </w:t>
      </w:r>
      <w:r w:rsidR="00341F59" w:rsidRPr="00E33718">
        <w:rPr>
          <w:rFonts w:ascii="Times New Roman" w:eastAsia="Times New Roman" w:hAnsi="Times New Roman" w:cs="Times New Roman"/>
          <w:sz w:val="28"/>
          <w:szCs w:val="28"/>
        </w:rPr>
        <w:t xml:space="preserve">заклад </w:t>
      </w:r>
      <w:r w:rsidR="00020516">
        <w:rPr>
          <w:rFonts w:ascii="Times New Roman" w:eastAsia="Times New Roman" w:hAnsi="Times New Roman" w:cs="Times New Roman"/>
          <w:sz w:val="28"/>
          <w:szCs w:val="28"/>
        </w:rPr>
        <w:t>ЗДО може розглядатися як автопоезисна система</w:t>
      </w:r>
      <w:r w:rsidR="00341F59" w:rsidRPr="00E33718">
        <w:rPr>
          <w:rFonts w:ascii="Times New Roman" w:eastAsia="Times New Roman" w:hAnsi="Times New Roman" w:cs="Times New Roman"/>
          <w:sz w:val="28"/>
          <w:szCs w:val="28"/>
        </w:rPr>
        <w:t xml:space="preserve"> з підсистемами (діти, педагоги, батьки, середовище) (Kenny, 2012; Peschl &amp; Fundneider, 2014). Директиви не керують, а збурюють систему, викликаючи формалізм або опір (Schön, 1983; Argyris &amp; Schö</w:t>
      </w:r>
      <w:r w:rsidR="00020516">
        <w:rPr>
          <w:rFonts w:ascii="Times New Roman" w:eastAsia="Times New Roman" w:hAnsi="Times New Roman" w:cs="Times New Roman"/>
          <w:sz w:val="28"/>
          <w:szCs w:val="28"/>
        </w:rPr>
        <w:t>n, 1996). Ефективне управління передбачає, натомість, фасилітацію</w:t>
      </w:r>
      <w:r w:rsidR="00341F59" w:rsidRPr="00E33718">
        <w:rPr>
          <w:rFonts w:ascii="Times New Roman" w:eastAsia="Times New Roman" w:hAnsi="Times New Roman" w:cs="Times New Roman"/>
          <w:sz w:val="28"/>
          <w:szCs w:val="28"/>
        </w:rPr>
        <w:t xml:space="preserve"> рекурсивних циклів (Tarr, 201</w:t>
      </w:r>
      <w:r w:rsidR="00020516">
        <w:rPr>
          <w:rFonts w:ascii="Times New Roman" w:eastAsia="Times New Roman" w:hAnsi="Times New Roman" w:cs="Times New Roman"/>
          <w:sz w:val="28"/>
          <w:szCs w:val="28"/>
        </w:rPr>
        <w:t>1; Senge, 1990; Scharmer, 2009). Саме кі</w:t>
      </w:r>
      <w:r w:rsidR="00341F59" w:rsidRPr="00E33718">
        <w:rPr>
          <w:rFonts w:ascii="Times New Roman" w:eastAsia="Times New Roman" w:hAnsi="Times New Roman" w:cs="Times New Roman"/>
          <w:sz w:val="28"/>
          <w:szCs w:val="28"/>
        </w:rPr>
        <w:t xml:space="preserve">бернетика пояснює крихкість бюрократичної </w:t>
      </w:r>
      <w:r w:rsidR="00341F59" w:rsidRPr="00E33718">
        <w:rPr>
          <w:rFonts w:ascii="Times New Roman" w:eastAsia="Times New Roman" w:hAnsi="Times New Roman" w:cs="Times New Roman"/>
          <w:sz w:val="28"/>
          <w:szCs w:val="28"/>
        </w:rPr>
        <w:lastRenderedPageBreak/>
        <w:t>моде</w:t>
      </w:r>
      <w:r w:rsidR="00020516">
        <w:rPr>
          <w:rFonts w:ascii="Times New Roman" w:eastAsia="Times New Roman" w:hAnsi="Times New Roman" w:cs="Times New Roman"/>
          <w:sz w:val="28"/>
          <w:szCs w:val="28"/>
        </w:rPr>
        <w:t>лі в кризі, оскільки</w:t>
      </w:r>
      <w:r w:rsidR="00341F59" w:rsidRPr="00E33718">
        <w:rPr>
          <w:rFonts w:ascii="Times New Roman" w:eastAsia="Times New Roman" w:hAnsi="Times New Roman" w:cs="Times New Roman"/>
          <w:sz w:val="28"/>
          <w:szCs w:val="28"/>
        </w:rPr>
        <w:t xml:space="preserve"> блокування зворотних зв’язків знижує адаптивність (Capra, 1996; Capra &amp; Luisi, 2014).</w:t>
      </w:r>
    </w:p>
    <w:p w:rsidR="00067829" w:rsidRDefault="00341F59" w:rsidP="00067829">
      <w:pPr>
        <w:spacing w:after="0" w:line="360" w:lineRule="auto"/>
        <w:ind w:firstLine="708"/>
        <w:jc w:val="both"/>
        <w:rPr>
          <w:rFonts w:ascii="Times New Roman" w:eastAsia="Times New Roman" w:hAnsi="Times New Roman" w:cs="Times New Roman"/>
          <w:sz w:val="28"/>
          <w:szCs w:val="28"/>
        </w:rPr>
      </w:pPr>
      <w:r w:rsidRPr="00E33718">
        <w:rPr>
          <w:rFonts w:ascii="Times New Roman" w:eastAsia="Times New Roman" w:hAnsi="Times New Roman" w:cs="Times New Roman"/>
          <w:sz w:val="28"/>
          <w:szCs w:val="28"/>
        </w:rPr>
        <w:t>Розподілене лідерство як організаційний механізм горизонтальної самоорганізації</w:t>
      </w:r>
      <w:r w:rsidR="00020516">
        <w:rPr>
          <w:rFonts w:ascii="Times New Roman" w:eastAsia="Times New Roman" w:hAnsi="Times New Roman" w:cs="Times New Roman"/>
          <w:sz w:val="28"/>
          <w:szCs w:val="28"/>
        </w:rPr>
        <w:t xml:space="preserve"> є новим поняттям для української освітньої системи. </w:t>
      </w:r>
      <w:r w:rsidRPr="00E33718">
        <w:rPr>
          <w:rFonts w:ascii="Times New Roman" w:eastAsia="Times New Roman" w:hAnsi="Times New Roman" w:cs="Times New Roman"/>
          <w:sz w:val="28"/>
          <w:szCs w:val="28"/>
        </w:rPr>
        <w:t xml:space="preserve">Теорія розподіленого лідерства (Spillane, 2006; Gronn, 2002; Harris, 2008; Hartley, 2010; Bolden, 2011) трактує лідерство як емерджентну властивість взаємодії. Постструктуралістські підходи (Dahlberg, Moss &amp; Pence, 1999; Dahlberg &amp; Moss, 2005; Moss, 2019) розглядають владу як дискурсивну практику. У дошкіллі це </w:t>
      </w:r>
      <w:r w:rsidR="00020516">
        <w:rPr>
          <w:rFonts w:ascii="Times New Roman" w:eastAsia="Times New Roman" w:hAnsi="Times New Roman" w:cs="Times New Roman"/>
          <w:sz w:val="28"/>
          <w:szCs w:val="28"/>
        </w:rPr>
        <w:t>передбачає не вертикалізацію процесу керівництва, а побудування</w:t>
      </w:r>
      <w:r w:rsidRPr="00E33718">
        <w:rPr>
          <w:rFonts w:ascii="Times New Roman" w:eastAsia="Times New Roman" w:hAnsi="Times New Roman" w:cs="Times New Roman"/>
          <w:sz w:val="28"/>
          <w:szCs w:val="28"/>
        </w:rPr>
        <w:t xml:space="preserve"> г</w:t>
      </w:r>
      <w:r w:rsidR="00020516">
        <w:rPr>
          <w:rFonts w:ascii="Times New Roman" w:eastAsia="Times New Roman" w:hAnsi="Times New Roman" w:cs="Times New Roman"/>
          <w:sz w:val="28"/>
          <w:szCs w:val="28"/>
        </w:rPr>
        <w:t>оризонтальної мережі</w:t>
      </w:r>
      <w:r w:rsidRPr="00E33718">
        <w:rPr>
          <w:rFonts w:ascii="Times New Roman" w:eastAsia="Times New Roman" w:hAnsi="Times New Roman" w:cs="Times New Roman"/>
          <w:sz w:val="28"/>
          <w:szCs w:val="28"/>
        </w:rPr>
        <w:t xml:space="preserve"> (Rinaldi, 2006; Rodd, 2013; Aubrey, 2011; Ho et al., 2016).</w:t>
      </w:r>
      <w:r w:rsidR="00020516">
        <w:rPr>
          <w:rFonts w:ascii="Times New Roman" w:eastAsia="Times New Roman" w:hAnsi="Times New Roman" w:cs="Times New Roman"/>
          <w:sz w:val="28"/>
          <w:szCs w:val="28"/>
        </w:rPr>
        <w:t xml:space="preserve"> </w:t>
      </w:r>
      <w:r w:rsidRPr="00E33718">
        <w:rPr>
          <w:rFonts w:ascii="Times New Roman" w:eastAsia="Times New Roman" w:hAnsi="Times New Roman" w:cs="Times New Roman"/>
          <w:sz w:val="28"/>
          <w:szCs w:val="28"/>
        </w:rPr>
        <w:t xml:space="preserve">Дослідження </w:t>
      </w:r>
      <w:r w:rsidR="00545E3D">
        <w:rPr>
          <w:rFonts w:ascii="Times New Roman" w:eastAsia="Times New Roman" w:hAnsi="Times New Roman" w:cs="Times New Roman"/>
          <w:sz w:val="28"/>
          <w:szCs w:val="28"/>
        </w:rPr>
        <w:t xml:space="preserve">науковців </w:t>
      </w:r>
      <w:r w:rsidRPr="00E33718">
        <w:rPr>
          <w:rFonts w:ascii="Times New Roman" w:eastAsia="Times New Roman" w:hAnsi="Times New Roman" w:cs="Times New Roman"/>
          <w:sz w:val="28"/>
          <w:szCs w:val="28"/>
        </w:rPr>
        <w:t>підтверджують</w:t>
      </w:r>
      <w:r w:rsidR="00545E3D">
        <w:rPr>
          <w:rFonts w:ascii="Times New Roman" w:eastAsia="Times New Roman" w:hAnsi="Times New Roman" w:cs="Times New Roman"/>
          <w:sz w:val="28"/>
          <w:szCs w:val="28"/>
        </w:rPr>
        <w:t>, що</w:t>
      </w:r>
      <w:r w:rsidRPr="00E33718">
        <w:rPr>
          <w:rFonts w:ascii="Times New Roman" w:eastAsia="Times New Roman" w:hAnsi="Times New Roman" w:cs="Times New Roman"/>
          <w:sz w:val="28"/>
          <w:szCs w:val="28"/>
        </w:rPr>
        <w:t xml:space="preserve"> розподілене лідерство підвищує автономію, знижує вигорання та покращує адаптивність (Leithwood et al., 2020; Aubrey et al., 2022; Heikka et al., 2019).</w:t>
      </w:r>
    </w:p>
    <w:p w:rsidR="00DD5985" w:rsidRDefault="00545E3D" w:rsidP="00067829">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Таким чином, проаналізувавши ці три підходи, можна зробити висновки про те, що с</w:t>
      </w:r>
      <w:r w:rsidR="00341F59" w:rsidRPr="00E33718">
        <w:rPr>
          <w:rFonts w:ascii="Times New Roman" w:eastAsia="Times New Roman" w:hAnsi="Times New Roman" w:cs="Times New Roman"/>
          <w:sz w:val="28"/>
          <w:szCs w:val="28"/>
        </w:rPr>
        <w:t>интез конструкт</w:t>
      </w:r>
      <w:r>
        <w:rPr>
          <w:rFonts w:ascii="Times New Roman" w:eastAsia="Times New Roman" w:hAnsi="Times New Roman" w:cs="Times New Roman"/>
          <w:sz w:val="28"/>
          <w:szCs w:val="28"/>
        </w:rPr>
        <w:t>ивізму</w:t>
      </w:r>
      <w:r w:rsidR="00341F59" w:rsidRPr="00E33718">
        <w:rPr>
          <w:rFonts w:ascii="Times New Roman" w:eastAsia="Times New Roman" w:hAnsi="Times New Roman" w:cs="Times New Roman"/>
          <w:sz w:val="28"/>
          <w:szCs w:val="28"/>
        </w:rPr>
        <w:t xml:space="preserve">, кібернетики другого </w:t>
      </w:r>
      <w:r>
        <w:rPr>
          <w:rFonts w:ascii="Times New Roman" w:eastAsia="Times New Roman" w:hAnsi="Times New Roman" w:cs="Times New Roman"/>
          <w:sz w:val="28"/>
          <w:szCs w:val="28"/>
        </w:rPr>
        <w:t>порядку</w:t>
      </w:r>
      <w:r w:rsidR="00341F59" w:rsidRPr="00E33718">
        <w:rPr>
          <w:rFonts w:ascii="Times New Roman" w:eastAsia="Times New Roman" w:hAnsi="Times New Roman" w:cs="Times New Roman"/>
          <w:sz w:val="28"/>
          <w:szCs w:val="28"/>
        </w:rPr>
        <w:t xml:space="preserve"> та розпо</w:t>
      </w:r>
      <w:r>
        <w:rPr>
          <w:rFonts w:ascii="Times New Roman" w:eastAsia="Times New Roman" w:hAnsi="Times New Roman" w:cs="Times New Roman"/>
          <w:sz w:val="28"/>
          <w:szCs w:val="28"/>
        </w:rPr>
        <w:t>діленого лідерства</w:t>
      </w:r>
      <w:r w:rsidR="00341F59" w:rsidRPr="00E33718">
        <w:rPr>
          <w:rFonts w:ascii="Times New Roman" w:eastAsia="Times New Roman" w:hAnsi="Times New Roman" w:cs="Times New Roman"/>
          <w:sz w:val="28"/>
          <w:szCs w:val="28"/>
        </w:rPr>
        <w:t xml:space="preserve"> створює цілісну парадигму (Riegler &amp; Steffe, 2014; Kenny, 20</w:t>
      </w:r>
      <w:r w:rsidR="000B1889">
        <w:rPr>
          <w:rFonts w:ascii="Times New Roman" w:eastAsia="Times New Roman" w:hAnsi="Times New Roman" w:cs="Times New Roman"/>
          <w:sz w:val="28"/>
          <w:szCs w:val="28"/>
        </w:rPr>
        <w:t>12; Peschl &amp; Fundneider, 2014), що</w:t>
      </w:r>
      <w:r w:rsidR="00341F59" w:rsidRPr="00E33718">
        <w:rPr>
          <w:rFonts w:ascii="Times New Roman" w:eastAsia="Times New Roman" w:hAnsi="Times New Roman" w:cs="Times New Roman"/>
          <w:sz w:val="28"/>
          <w:szCs w:val="28"/>
        </w:rPr>
        <w:t xml:space="preserve"> дозволяє інтерпретув</w:t>
      </w:r>
      <w:r>
        <w:rPr>
          <w:rFonts w:ascii="Times New Roman" w:eastAsia="Times New Roman" w:hAnsi="Times New Roman" w:cs="Times New Roman"/>
          <w:sz w:val="28"/>
          <w:szCs w:val="28"/>
        </w:rPr>
        <w:t xml:space="preserve">ати світові практики </w:t>
      </w:r>
      <w:r w:rsidR="00341F59" w:rsidRPr="00E33718">
        <w:rPr>
          <w:rFonts w:ascii="Times New Roman" w:eastAsia="Times New Roman" w:hAnsi="Times New Roman" w:cs="Times New Roman"/>
          <w:sz w:val="28"/>
          <w:szCs w:val="28"/>
        </w:rPr>
        <w:t>та</w:t>
      </w:r>
      <w:r>
        <w:rPr>
          <w:rFonts w:ascii="Times New Roman" w:eastAsia="Times New Roman" w:hAnsi="Times New Roman" w:cs="Times New Roman"/>
          <w:sz w:val="28"/>
          <w:szCs w:val="28"/>
        </w:rPr>
        <w:t xml:space="preserve"> розробити модель трансформації</w:t>
      </w:r>
      <w:r w:rsidR="00067829">
        <w:rPr>
          <w:rFonts w:ascii="Times New Roman" w:eastAsia="Times New Roman" w:hAnsi="Times New Roman" w:cs="Times New Roman"/>
          <w:sz w:val="28"/>
          <w:szCs w:val="28"/>
        </w:rPr>
        <w:t>, в якій заклад дошкільної освіти розглядається як ж</w:t>
      </w:r>
      <w:r w:rsidR="00067829" w:rsidRPr="00067829">
        <w:rPr>
          <w:rFonts w:ascii="Times New Roman" w:eastAsia="Times New Roman" w:hAnsi="Times New Roman" w:cs="Times New Roman"/>
          <w:sz w:val="28"/>
          <w:szCs w:val="28"/>
        </w:rPr>
        <w:t>ива автопоезисна спі</w:t>
      </w:r>
      <w:r w:rsidR="00067829">
        <w:rPr>
          <w:rFonts w:ascii="Times New Roman" w:eastAsia="Times New Roman" w:hAnsi="Times New Roman" w:cs="Times New Roman"/>
          <w:sz w:val="28"/>
          <w:szCs w:val="28"/>
        </w:rPr>
        <w:t xml:space="preserve">льнота суб’єктів-конструкторів; </w:t>
      </w:r>
      <w:r w:rsidR="00067829" w:rsidRPr="00067829">
        <w:rPr>
          <w:rFonts w:ascii="Times New Roman" w:eastAsia="Times New Roman" w:hAnsi="Times New Roman" w:cs="Times New Roman"/>
          <w:sz w:val="28"/>
          <w:szCs w:val="28"/>
        </w:rPr>
        <w:t>знання та рішення виникають у рекурсивних</w:t>
      </w:r>
      <w:r w:rsidR="00067829">
        <w:rPr>
          <w:rFonts w:ascii="Times New Roman" w:eastAsia="Times New Roman" w:hAnsi="Times New Roman" w:cs="Times New Roman"/>
          <w:sz w:val="28"/>
          <w:szCs w:val="28"/>
        </w:rPr>
        <w:t xml:space="preserve"> циклах взаємодії та рефлексії; управління здійснюється через фасилітацію</w:t>
      </w:r>
      <w:r w:rsidR="00067829" w:rsidRPr="00067829">
        <w:rPr>
          <w:rFonts w:ascii="Times New Roman" w:eastAsia="Times New Roman" w:hAnsi="Times New Roman" w:cs="Times New Roman"/>
          <w:sz w:val="28"/>
          <w:szCs w:val="28"/>
        </w:rPr>
        <w:t xml:space="preserve"> емерджентності, а не контроль.</w:t>
      </w:r>
    </w:p>
    <w:p w:rsidR="00C77066" w:rsidRDefault="00D35C98" w:rsidP="00C77066">
      <w:pPr>
        <w:spacing w:after="0" w:line="360" w:lineRule="auto"/>
        <w:ind w:firstLine="708"/>
        <w:jc w:val="both"/>
        <w:rPr>
          <w:rFonts w:ascii="Times New Roman" w:eastAsia="Times New Roman" w:hAnsi="Times New Roman" w:cs="Times New Roman"/>
          <w:sz w:val="28"/>
          <w:szCs w:val="28"/>
        </w:rPr>
      </w:pPr>
      <w:r w:rsidRPr="00D35C98">
        <w:rPr>
          <w:rFonts w:ascii="Times New Roman" w:eastAsia="Times New Roman" w:hAnsi="Times New Roman" w:cs="Times New Roman"/>
          <w:sz w:val="28"/>
          <w:szCs w:val="28"/>
        </w:rPr>
        <w:t xml:space="preserve">Теоретичні положення радикального конструктивізму, кібернетики другого порядку та розподіленого лідерства отримали найбільш послідовне практичне втілення у трьох педагогічних системах, що визнаються сучасною світовою спільнотою як еталонні моделі дошкільної освіти: методі Марії Монтессорі, </w:t>
      </w:r>
      <w:r w:rsidR="00C77066">
        <w:rPr>
          <w:rFonts w:ascii="Times New Roman" w:eastAsia="Times New Roman" w:hAnsi="Times New Roman" w:cs="Times New Roman"/>
          <w:sz w:val="28"/>
          <w:szCs w:val="28"/>
        </w:rPr>
        <w:t>педагогічній системі Реджіо</w:t>
      </w:r>
      <w:r w:rsidRPr="00D35C98">
        <w:rPr>
          <w:rFonts w:ascii="Times New Roman" w:eastAsia="Times New Roman" w:hAnsi="Times New Roman" w:cs="Times New Roman"/>
          <w:sz w:val="28"/>
          <w:szCs w:val="28"/>
        </w:rPr>
        <w:t xml:space="preserve">-Емілія (Лоріс Малагуцці та муніципальна мережа дошкільної освіти) та прогресивній освітній традиції Джона Д’юї з її сучасними продовженнями </w:t>
      </w:r>
      <w:r w:rsidRPr="00D35C98">
        <w:rPr>
          <w:rFonts w:ascii="Times New Roman" w:eastAsia="Times New Roman" w:hAnsi="Times New Roman" w:cs="Times New Roman"/>
          <w:sz w:val="28"/>
          <w:szCs w:val="28"/>
        </w:rPr>
        <w:lastRenderedPageBreak/>
        <w:t>(наприклад, Te Whāriki у Новій Зеландії). Кожна з них, зберігаючи власну ідентичність, реалізує ключові онтологічні, епістемологічні та організаційні засади вищезазначених парадигм (Edwards et al., 2012; Dahlberg et al., 2013; Forman, 2017; OECD, 2020; Demangeon et al., 2023; Ye &amp; Shih, 2021).</w:t>
      </w:r>
    </w:p>
    <w:p w:rsidR="00D35C98" w:rsidRPr="00D35C98" w:rsidRDefault="00D35C98" w:rsidP="00C77066">
      <w:pPr>
        <w:spacing w:after="0" w:line="360" w:lineRule="auto"/>
        <w:ind w:firstLine="708"/>
        <w:jc w:val="both"/>
        <w:rPr>
          <w:rFonts w:ascii="Times New Roman" w:eastAsia="Times New Roman" w:hAnsi="Times New Roman" w:cs="Times New Roman"/>
          <w:sz w:val="28"/>
          <w:szCs w:val="28"/>
        </w:rPr>
      </w:pPr>
      <w:r w:rsidRPr="00D35C98">
        <w:rPr>
          <w:rFonts w:ascii="Times New Roman" w:eastAsia="Times New Roman" w:hAnsi="Times New Roman" w:cs="Times New Roman"/>
          <w:sz w:val="28"/>
          <w:szCs w:val="28"/>
        </w:rPr>
        <w:t xml:space="preserve">Метод </w:t>
      </w:r>
      <w:r w:rsidR="00C77066">
        <w:rPr>
          <w:rFonts w:ascii="Times New Roman" w:eastAsia="Times New Roman" w:hAnsi="Times New Roman" w:cs="Times New Roman"/>
          <w:sz w:val="28"/>
          <w:szCs w:val="28"/>
        </w:rPr>
        <w:t xml:space="preserve">М. Монтессорі </w:t>
      </w:r>
      <w:r w:rsidRPr="00D35C98">
        <w:rPr>
          <w:rFonts w:ascii="Times New Roman" w:eastAsia="Times New Roman" w:hAnsi="Times New Roman" w:cs="Times New Roman"/>
          <w:sz w:val="28"/>
          <w:szCs w:val="28"/>
        </w:rPr>
        <w:t>ґрунтується на визнанні дитини операційно замкненою автопоезисною системою, яка розкриває внутрішній потенціал у сенситивні періоди розвитку (Montessori, 1964; 1967; Standing, 1998; Lillard, 2005). Підготовлене середовище та дидактичний матеріал виступають структурованими збуреннями, що активізують процеси самоорганізації без прямого зовнішнього втручання (Lillard &amp; Else-Quest, 2006; Marshall, 2017). Принцип «допоможи мені зробити це самому» та вбудований контроль помилки забезпечують рекурсивний зворотний зв’язок на індивідуальному рівні (Lillard et al., 2017; Denervaud et al., 2020a; Kusumawardani &amp; Sulist</w:t>
      </w:r>
      <w:r w:rsidR="00C77066">
        <w:rPr>
          <w:rFonts w:ascii="Times New Roman" w:eastAsia="Times New Roman" w:hAnsi="Times New Roman" w:cs="Times New Roman"/>
          <w:sz w:val="28"/>
          <w:szCs w:val="28"/>
        </w:rPr>
        <w:t xml:space="preserve">iani, 2021). Сучасні </w:t>
      </w:r>
      <w:r w:rsidRPr="00D35C98">
        <w:rPr>
          <w:rFonts w:ascii="Times New Roman" w:eastAsia="Times New Roman" w:hAnsi="Times New Roman" w:cs="Times New Roman"/>
          <w:sz w:val="28"/>
          <w:szCs w:val="28"/>
        </w:rPr>
        <w:t>дослідження підтверджують вищу виконавчу функцію, креативність та соціально-емоційний розвиток випускників Монтессорі-програм (Lillard et al., 2023; Denervaud et al., 2020b).</w:t>
      </w:r>
      <w:r w:rsidR="00C77066">
        <w:rPr>
          <w:rFonts w:ascii="Times New Roman" w:eastAsia="Times New Roman" w:hAnsi="Times New Roman" w:cs="Times New Roman"/>
          <w:sz w:val="28"/>
          <w:szCs w:val="28"/>
        </w:rPr>
        <w:t xml:space="preserve"> </w:t>
      </w:r>
      <w:r w:rsidRPr="00D35C98">
        <w:rPr>
          <w:rFonts w:ascii="Times New Roman" w:eastAsia="Times New Roman" w:hAnsi="Times New Roman" w:cs="Times New Roman"/>
          <w:sz w:val="28"/>
          <w:szCs w:val="28"/>
        </w:rPr>
        <w:t>Управлінська модель передбачає мінімальне директивне втручання: керівник гарантує підготовлене середовище та наукове спостереження, що відповідає принципу мінімальної достатності в кібернетиці другого порядку (Foerster, 2003).</w:t>
      </w:r>
    </w:p>
    <w:p w:rsidR="00D35C98" w:rsidRPr="00D35C98" w:rsidRDefault="007F27A8" w:rsidP="00D35C98">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Концепція Л.</w:t>
      </w:r>
      <w:r>
        <w:rPr>
          <w:rFonts w:ascii="Times New Roman" w:eastAsia="Times New Roman" w:hAnsi="Times New Roman" w:cs="Times New Roman"/>
          <w:sz w:val="28"/>
          <w:szCs w:val="28"/>
          <w:lang w:val="en-US"/>
        </w:rPr>
        <w:t> </w:t>
      </w:r>
      <w:r w:rsidR="00D35C98" w:rsidRPr="00D35C98">
        <w:rPr>
          <w:rFonts w:ascii="Times New Roman" w:eastAsia="Times New Roman" w:hAnsi="Times New Roman" w:cs="Times New Roman"/>
          <w:sz w:val="28"/>
          <w:szCs w:val="28"/>
        </w:rPr>
        <w:t>Малагуцці (Malaguzzi, 1993; 1996) постулює дитину як компетентного суб’єкта з</w:t>
      </w:r>
      <w:r w:rsidR="00C77066">
        <w:rPr>
          <w:rFonts w:ascii="Times New Roman" w:eastAsia="Times New Roman" w:hAnsi="Times New Roman" w:cs="Times New Roman"/>
          <w:sz w:val="28"/>
          <w:szCs w:val="28"/>
        </w:rPr>
        <w:t>і</w:t>
      </w:r>
      <w:r w:rsidR="00D35C98" w:rsidRPr="00D35C98">
        <w:rPr>
          <w:rFonts w:ascii="Times New Roman" w:eastAsia="Times New Roman" w:hAnsi="Times New Roman" w:cs="Times New Roman"/>
          <w:sz w:val="28"/>
          <w:szCs w:val="28"/>
        </w:rPr>
        <w:t xml:space="preserve"> «ста мовами» вираження</w:t>
      </w:r>
      <w:r>
        <w:rPr>
          <w:rFonts w:ascii="Times New Roman" w:eastAsia="Times New Roman" w:hAnsi="Times New Roman" w:cs="Times New Roman"/>
          <w:sz w:val="28"/>
          <w:szCs w:val="28"/>
        </w:rPr>
        <w:t>»</w:t>
      </w:r>
      <w:r w:rsidR="00D35C98" w:rsidRPr="00D35C98">
        <w:rPr>
          <w:rFonts w:ascii="Times New Roman" w:eastAsia="Times New Roman" w:hAnsi="Times New Roman" w:cs="Times New Roman"/>
          <w:sz w:val="28"/>
          <w:szCs w:val="28"/>
        </w:rPr>
        <w:t xml:space="preserve">. Середовище визначається як «третій педагог» (Rinaldi, 2006; Edwards et al., 2012; Vecchi, 2010), а педагогічна документація виконує функцію рекурсивного інструменту спостереження другого порядку (Dahlberg &amp; Moss, 2005; Giudici &amp; Krechevsky, 2018; Wien, 2015; Cline et al., 2012). Щотижневі рефлексивні зустрічі команди є класичним проявом кругових кібернетичних процесів (Moss, 2016; Tarr, 2011). Розподілене лідерство реалізується через горизонтальну структуру, де педаґоґіста координує </w:t>
      </w:r>
      <w:r w:rsidR="00D35C98" w:rsidRPr="00D35C98">
        <w:rPr>
          <w:rFonts w:ascii="Times New Roman" w:eastAsia="Times New Roman" w:hAnsi="Times New Roman" w:cs="Times New Roman"/>
          <w:sz w:val="28"/>
          <w:szCs w:val="28"/>
        </w:rPr>
        <w:lastRenderedPageBreak/>
        <w:t>рефлексію, а не видає директиви (Parnell, 2012; Bredekamp, 1993).</w:t>
      </w:r>
      <w:r w:rsidR="00C77066">
        <w:rPr>
          <w:rFonts w:ascii="Times New Roman" w:eastAsia="Times New Roman" w:hAnsi="Times New Roman" w:cs="Times New Roman"/>
          <w:sz w:val="28"/>
          <w:szCs w:val="28"/>
        </w:rPr>
        <w:t xml:space="preserve"> </w:t>
      </w:r>
      <w:r w:rsidR="00D35C98" w:rsidRPr="00D35C98">
        <w:rPr>
          <w:rFonts w:ascii="Times New Roman" w:eastAsia="Times New Roman" w:hAnsi="Times New Roman" w:cs="Times New Roman"/>
          <w:sz w:val="28"/>
          <w:szCs w:val="28"/>
        </w:rPr>
        <w:t>Дослідження OECD (2020) та European Commission (2022) визначають Реджіо-підхід як одну з найефективніших моделей забезпечення якості дошкільної освіти в Європі, з акцентом на соціально-конструктивні процеси та командну рефлексію.</w:t>
      </w:r>
    </w:p>
    <w:p w:rsidR="00C77066" w:rsidRDefault="007F27A8" w:rsidP="00D35C98">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Дж. </w:t>
      </w:r>
      <w:r w:rsidR="00C77066">
        <w:rPr>
          <w:rFonts w:ascii="Times New Roman" w:eastAsia="Times New Roman" w:hAnsi="Times New Roman" w:cs="Times New Roman"/>
          <w:sz w:val="28"/>
          <w:szCs w:val="28"/>
        </w:rPr>
        <w:t>Д’юї</w:t>
      </w:r>
      <w:r w:rsidR="00D35C98" w:rsidRPr="00D35C98">
        <w:rPr>
          <w:rFonts w:ascii="Times New Roman" w:eastAsia="Times New Roman" w:hAnsi="Times New Roman" w:cs="Times New Roman"/>
          <w:sz w:val="28"/>
          <w:szCs w:val="28"/>
        </w:rPr>
        <w:t xml:space="preserve"> розглядав пізнання як безперервний рефлексивний цикл, що виникає в</w:t>
      </w:r>
      <w:r w:rsidR="00C77066">
        <w:rPr>
          <w:rFonts w:ascii="Times New Roman" w:eastAsia="Times New Roman" w:hAnsi="Times New Roman" w:cs="Times New Roman"/>
          <w:sz w:val="28"/>
          <w:szCs w:val="28"/>
        </w:rPr>
        <w:t xml:space="preserve"> проблемній ситуації: інтерес → гіпотеза → експеримент →</w:t>
      </w:r>
    </w:p>
    <w:p w:rsidR="00D35C98" w:rsidRPr="00D35C98" w:rsidRDefault="00C77066" w:rsidP="00C77066">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рефлексія → </w:t>
      </w:r>
      <w:r w:rsidR="00D35C98" w:rsidRPr="00D35C98">
        <w:rPr>
          <w:rFonts w:ascii="Times New Roman" w:eastAsia="Times New Roman" w:hAnsi="Times New Roman" w:cs="Times New Roman"/>
          <w:sz w:val="28"/>
          <w:szCs w:val="28"/>
        </w:rPr>
        <w:t xml:space="preserve">нова дія (Tanner, 1997; Schön, 1983). Дошкільний заклад трактується як ембріональна демократична спільнота з прямим голосом дитини (Seefeldt, 2005; Waks, 2019). Сучасні національні програми, що прямо посилаються на Д’юї (Te Whāriki, Ministry of Education New Zealand, 2017; Nuttall, 2013), а також прогресивні дошкільні заклади Північної Америки та Європи (Hewitt, 2020; Schröder, 2023; Gibbon, 2019), зберігають принципи спільного управління та рефлексивного досвіду. </w:t>
      </w:r>
    </w:p>
    <w:p w:rsidR="00D35C98" w:rsidRDefault="00C77066" w:rsidP="00C77066">
      <w:pPr>
        <w:spacing w:after="0" w:line="360" w:lineRule="auto"/>
        <w:ind w:firstLine="708"/>
        <w:jc w:val="both"/>
        <w:rPr>
          <w:rFonts w:ascii="Times New Roman" w:eastAsia="Times New Roman" w:hAnsi="Times New Roman" w:cs="Times New Roman"/>
          <w:sz w:val="28"/>
          <w:szCs w:val="28"/>
        </w:rPr>
      </w:pPr>
      <w:r w:rsidRPr="00C77066">
        <w:rPr>
          <w:rFonts w:ascii="Times New Roman" w:eastAsia="Times New Roman" w:hAnsi="Times New Roman" w:cs="Times New Roman"/>
          <w:sz w:val="28"/>
          <w:szCs w:val="28"/>
        </w:rPr>
        <w:t>Проведений аналіз свідчить, що методи Монтессорі, Реджіо-Емілія та прогресивна пед</w:t>
      </w:r>
      <w:r w:rsidR="002E5F1B">
        <w:rPr>
          <w:rFonts w:ascii="Times New Roman" w:eastAsia="Times New Roman" w:hAnsi="Times New Roman" w:cs="Times New Roman"/>
          <w:sz w:val="28"/>
          <w:szCs w:val="28"/>
        </w:rPr>
        <w:t>агогіка Д’юї є взаємодоповнюва</w:t>
      </w:r>
      <w:r w:rsidRPr="00C77066">
        <w:rPr>
          <w:rFonts w:ascii="Times New Roman" w:eastAsia="Times New Roman" w:hAnsi="Times New Roman" w:cs="Times New Roman"/>
          <w:sz w:val="28"/>
          <w:szCs w:val="28"/>
        </w:rPr>
        <w:t>ними емпіричними реалізаціями конструктивістсько-кібернетичної парадигми з елементами розподіленого лідерства. Їхній синтез створює науково обґрунтоване підґрунтя для розробки інтегративної моделі управління ЗДО, адаптованої до викликів післявоєнного відновлення України та відповідної найкращим світовим практикам (UNICEF, 2025; European Commission, 2022).</w:t>
      </w:r>
    </w:p>
    <w:p w:rsidR="002E5F1B" w:rsidRPr="002E5F1B" w:rsidRDefault="002E5F1B" w:rsidP="00C77066">
      <w:pPr>
        <w:spacing w:after="0" w:line="360" w:lineRule="auto"/>
        <w:ind w:firstLine="708"/>
        <w:jc w:val="both"/>
        <w:rPr>
          <w:rFonts w:ascii="Times New Roman" w:eastAsia="Times New Roman" w:hAnsi="Times New Roman" w:cs="Times New Roman"/>
          <w:b/>
          <w:sz w:val="28"/>
          <w:szCs w:val="28"/>
        </w:rPr>
      </w:pPr>
      <w:r w:rsidRPr="002E5F1B">
        <w:rPr>
          <w:rFonts w:ascii="Times New Roman" w:eastAsia="Times New Roman" w:hAnsi="Times New Roman" w:cs="Times New Roman"/>
          <w:b/>
          <w:sz w:val="28"/>
          <w:szCs w:val="28"/>
        </w:rPr>
        <w:t>Результати</w:t>
      </w:r>
    </w:p>
    <w:p w:rsidR="002E5F1B" w:rsidRPr="002E5F1B" w:rsidRDefault="002E5F1B" w:rsidP="002E5F1B">
      <w:pPr>
        <w:spacing w:after="0" w:line="360" w:lineRule="auto"/>
        <w:ind w:firstLine="708"/>
        <w:jc w:val="both"/>
        <w:rPr>
          <w:rFonts w:ascii="Times New Roman" w:eastAsia="Times New Roman" w:hAnsi="Times New Roman" w:cs="Times New Roman"/>
          <w:sz w:val="28"/>
          <w:szCs w:val="28"/>
        </w:rPr>
      </w:pPr>
      <w:r w:rsidRPr="002E5F1B">
        <w:rPr>
          <w:rFonts w:ascii="Times New Roman" w:eastAsia="Times New Roman" w:hAnsi="Times New Roman" w:cs="Times New Roman"/>
          <w:sz w:val="28"/>
          <w:szCs w:val="28"/>
        </w:rPr>
        <w:t>На основі теоретичного синтезу радикального конструктивізму, кібернетики другого порядку та розподіленого лідерства, а також компаративного аналізу міжнародного досвіду, розроблено інтегративну модель трансформації управління ЗДО. Модель усуває ключові дисфункції традиційної адміністративно-бюрократичної парадигми та пропонує системний перехід до самоорганізованої, рефлексивної, горизонтальної організації освітнього процесу, адаптованої до умов післявоєнного відновлення України.</w:t>
      </w:r>
    </w:p>
    <w:p w:rsidR="002E5F1B" w:rsidRPr="002E5F1B" w:rsidRDefault="002E5F1B" w:rsidP="00C55DCB">
      <w:pPr>
        <w:spacing w:after="0" w:line="360" w:lineRule="auto"/>
        <w:ind w:firstLine="708"/>
        <w:jc w:val="both"/>
        <w:rPr>
          <w:rFonts w:ascii="Times New Roman" w:eastAsia="Times New Roman" w:hAnsi="Times New Roman" w:cs="Times New Roman"/>
          <w:sz w:val="28"/>
          <w:szCs w:val="28"/>
        </w:rPr>
      </w:pPr>
      <w:r w:rsidRPr="002E5F1B">
        <w:rPr>
          <w:rFonts w:ascii="Times New Roman" w:eastAsia="Times New Roman" w:hAnsi="Times New Roman" w:cs="Times New Roman"/>
          <w:sz w:val="28"/>
          <w:szCs w:val="28"/>
        </w:rPr>
        <w:lastRenderedPageBreak/>
        <w:t>Онтологічні та епістемологічні засади моделі</w:t>
      </w:r>
      <w:r>
        <w:rPr>
          <w:rFonts w:ascii="Times New Roman" w:eastAsia="Times New Roman" w:hAnsi="Times New Roman" w:cs="Times New Roman"/>
          <w:sz w:val="28"/>
          <w:szCs w:val="28"/>
        </w:rPr>
        <w:t xml:space="preserve">. </w:t>
      </w:r>
      <w:r w:rsidRPr="002E5F1B">
        <w:rPr>
          <w:rFonts w:ascii="Times New Roman" w:eastAsia="Times New Roman" w:hAnsi="Times New Roman" w:cs="Times New Roman"/>
          <w:sz w:val="28"/>
          <w:szCs w:val="28"/>
        </w:rPr>
        <w:t xml:space="preserve">Заклад дошкільної освіти визначається як жива автопоезисна система другого порядку (Maturana &amp; Varela, 1980; Luhmann, 1995; Foerster, 2003), що складається з операційно замкнених, але структурно пов’язаних підсистем (діти, педагоги, батьки, матеріальне середовище). Керівник виконує функцію метаспостерігача-учасника, який не здійснює прямого впливу, а створює умови для емерджентності внутрішніх зворотних зв’язків і рекурсивної рефлексії (Bateson, 1972; Peschl &amp; Fundneider, 2014; Scharmer, 2009; Kenny, 2012). Онтологічно модель ґрунтується на визнанні кожного учасника суб’єктом-конструктором власного досвіду (von Glasersfeld, 1995; Riegler &amp; </w:t>
      </w:r>
      <w:r>
        <w:rPr>
          <w:rFonts w:ascii="Times New Roman" w:eastAsia="Times New Roman" w:hAnsi="Times New Roman" w:cs="Times New Roman"/>
          <w:sz w:val="28"/>
          <w:szCs w:val="28"/>
        </w:rPr>
        <w:t>Steffe, 2014), епістемологічно –</w:t>
      </w:r>
      <w:r w:rsidRPr="002E5F1B">
        <w:rPr>
          <w:rFonts w:ascii="Times New Roman" w:eastAsia="Times New Roman" w:hAnsi="Times New Roman" w:cs="Times New Roman"/>
          <w:sz w:val="28"/>
          <w:szCs w:val="28"/>
        </w:rPr>
        <w:t xml:space="preserve"> на рекурсивних циклах взаємодії (Schön, 1983; Tarr, 2011), організаційно </w:t>
      </w:r>
      <w:r>
        <w:rPr>
          <w:rFonts w:ascii="Times New Roman" w:eastAsia="Times New Roman" w:hAnsi="Times New Roman" w:cs="Times New Roman"/>
          <w:sz w:val="28"/>
          <w:szCs w:val="28"/>
        </w:rPr>
        <w:t xml:space="preserve">– </w:t>
      </w:r>
      <w:r w:rsidRPr="002E5F1B">
        <w:rPr>
          <w:rFonts w:ascii="Times New Roman" w:eastAsia="Times New Roman" w:hAnsi="Times New Roman" w:cs="Times New Roman"/>
          <w:sz w:val="28"/>
          <w:szCs w:val="28"/>
        </w:rPr>
        <w:t>на розподіленому лідерстві як механізмі горизонтальної самоорганізації (Spillane, 2006; Harris, 2008; Bolden, 2011).</w:t>
      </w:r>
    </w:p>
    <w:p w:rsidR="009E5EF7" w:rsidRDefault="002E5F1B" w:rsidP="009E5EF7">
      <w:pPr>
        <w:spacing w:after="0" w:line="360" w:lineRule="auto"/>
        <w:ind w:firstLine="708"/>
        <w:jc w:val="both"/>
        <w:rPr>
          <w:rFonts w:ascii="Times New Roman" w:eastAsia="Times New Roman" w:hAnsi="Times New Roman" w:cs="Times New Roman"/>
          <w:sz w:val="28"/>
          <w:szCs w:val="28"/>
        </w:rPr>
      </w:pPr>
      <w:r w:rsidRPr="002E5F1B">
        <w:rPr>
          <w:rFonts w:ascii="Times New Roman" w:eastAsia="Times New Roman" w:hAnsi="Times New Roman" w:cs="Times New Roman"/>
          <w:sz w:val="28"/>
          <w:szCs w:val="28"/>
        </w:rPr>
        <w:t>Модель включає 11 взаємопов’язаних принципів, синтезованих з теоретичних засад і емпіричних практик.</w:t>
      </w:r>
    </w:p>
    <w:p w:rsidR="009E5EF7" w:rsidRDefault="002E5F1B" w:rsidP="009E5EF7">
      <w:pPr>
        <w:spacing w:after="0" w:line="360" w:lineRule="auto"/>
        <w:ind w:firstLine="708"/>
        <w:jc w:val="both"/>
        <w:rPr>
          <w:rFonts w:ascii="Times New Roman" w:eastAsia="Times New Roman" w:hAnsi="Times New Roman" w:cs="Times New Roman"/>
          <w:sz w:val="28"/>
          <w:szCs w:val="28"/>
        </w:rPr>
      </w:pPr>
      <w:r w:rsidRPr="002E5F1B">
        <w:rPr>
          <w:rFonts w:ascii="Times New Roman" w:eastAsia="Times New Roman" w:hAnsi="Times New Roman" w:cs="Times New Roman"/>
          <w:i/>
          <w:sz w:val="28"/>
          <w:szCs w:val="28"/>
        </w:rPr>
        <w:t>Принцип 1.</w:t>
      </w:r>
      <w:r w:rsidRPr="002E5F1B">
        <w:rPr>
          <w:rFonts w:ascii="Times New Roman" w:eastAsia="Times New Roman" w:hAnsi="Times New Roman" w:cs="Times New Roman"/>
          <w:sz w:val="28"/>
          <w:szCs w:val="28"/>
        </w:rPr>
        <w:t xml:space="preserve"> </w:t>
      </w:r>
      <w:r w:rsidR="009E5EF7" w:rsidRPr="009E5EF7">
        <w:rPr>
          <w:rFonts w:ascii="Times New Roman" w:eastAsia="Times New Roman" w:hAnsi="Times New Roman" w:cs="Times New Roman"/>
          <w:i/>
          <w:sz w:val="28"/>
          <w:szCs w:val="28"/>
        </w:rPr>
        <w:t>Мінімальної достатності управлінських втручань</w:t>
      </w:r>
      <w:r w:rsidR="009E5EF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Цей принцип передбачає </w:t>
      </w:r>
      <w:r w:rsidRPr="002E5F1B">
        <w:rPr>
          <w:rFonts w:ascii="Times New Roman" w:eastAsia="Times New Roman" w:hAnsi="Times New Roman" w:cs="Times New Roman"/>
          <w:sz w:val="28"/>
          <w:szCs w:val="28"/>
        </w:rPr>
        <w:t>мінімально д</w:t>
      </w:r>
      <w:r>
        <w:rPr>
          <w:rFonts w:ascii="Times New Roman" w:eastAsia="Times New Roman" w:hAnsi="Times New Roman" w:cs="Times New Roman"/>
          <w:sz w:val="28"/>
          <w:szCs w:val="28"/>
        </w:rPr>
        <w:t>остатнє управлінське втручання і</w:t>
      </w:r>
      <w:r w:rsidRPr="002E5F1B">
        <w:rPr>
          <w:rFonts w:ascii="Times New Roman" w:eastAsia="Times New Roman" w:hAnsi="Times New Roman" w:cs="Times New Roman"/>
          <w:sz w:val="28"/>
          <w:szCs w:val="28"/>
        </w:rPr>
        <w:t xml:space="preserve"> ґрунтується на кібернетиці другого порядку та принципі реквізитної достатності (Foerster, </w:t>
      </w:r>
      <w:r>
        <w:rPr>
          <w:rFonts w:ascii="Times New Roman" w:eastAsia="Times New Roman" w:hAnsi="Times New Roman" w:cs="Times New Roman"/>
          <w:sz w:val="28"/>
          <w:szCs w:val="28"/>
        </w:rPr>
        <w:t>2003; Maturana &amp; Varela, 1980). Практичне втілення передбачає</w:t>
      </w:r>
      <w:r w:rsidRPr="002E5F1B">
        <w:rPr>
          <w:rFonts w:ascii="Times New Roman" w:eastAsia="Times New Roman" w:hAnsi="Times New Roman" w:cs="Times New Roman"/>
          <w:sz w:val="28"/>
          <w:szCs w:val="28"/>
        </w:rPr>
        <w:t xml:space="preserve"> скасування щоденних конспектів і перехід до протоколів спостережень, як у методі Монтессорі (Lillard, 2005).</w:t>
      </w:r>
    </w:p>
    <w:p w:rsidR="002E5F1B" w:rsidRPr="002E5F1B" w:rsidRDefault="002E5F1B" w:rsidP="009E5EF7">
      <w:pPr>
        <w:spacing w:after="0" w:line="360" w:lineRule="auto"/>
        <w:ind w:firstLine="708"/>
        <w:jc w:val="both"/>
        <w:rPr>
          <w:rFonts w:ascii="Times New Roman" w:eastAsia="Times New Roman" w:hAnsi="Times New Roman" w:cs="Times New Roman"/>
          <w:sz w:val="28"/>
          <w:szCs w:val="28"/>
        </w:rPr>
      </w:pPr>
      <w:r w:rsidRPr="009E5EF7">
        <w:rPr>
          <w:rFonts w:ascii="Times New Roman" w:eastAsia="Times New Roman" w:hAnsi="Times New Roman" w:cs="Times New Roman"/>
          <w:i/>
          <w:sz w:val="28"/>
          <w:szCs w:val="28"/>
        </w:rPr>
        <w:t>Принцип 2</w:t>
      </w:r>
      <w:r w:rsidR="009E5EF7">
        <w:rPr>
          <w:rFonts w:ascii="Times New Roman" w:eastAsia="Times New Roman" w:hAnsi="Times New Roman" w:cs="Times New Roman"/>
          <w:i/>
          <w:sz w:val="28"/>
          <w:szCs w:val="28"/>
        </w:rPr>
        <w:t>.</w:t>
      </w:r>
      <w:r w:rsidRPr="009E5EF7">
        <w:rPr>
          <w:rFonts w:ascii="Times New Roman" w:eastAsia="Times New Roman" w:hAnsi="Times New Roman" w:cs="Times New Roman"/>
          <w:sz w:val="28"/>
          <w:szCs w:val="28"/>
        </w:rPr>
        <w:t xml:space="preserve"> </w:t>
      </w:r>
      <w:r w:rsidR="009E5EF7" w:rsidRPr="009E5EF7">
        <w:rPr>
          <w:rFonts w:ascii="Times New Roman" w:hAnsi="Times New Roman" w:cs="Times New Roman"/>
          <w:i/>
          <w:sz w:val="28"/>
          <w:szCs w:val="28"/>
        </w:rPr>
        <w:t>Розподіленого лідерства та горизонтальної організації</w:t>
      </w:r>
      <w:r w:rsidRPr="009E5EF7">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підґрунтям яких є теорія</w:t>
      </w:r>
      <w:r w:rsidRPr="002E5F1B">
        <w:rPr>
          <w:rFonts w:ascii="Times New Roman" w:eastAsia="Times New Roman" w:hAnsi="Times New Roman" w:cs="Times New Roman"/>
          <w:sz w:val="28"/>
          <w:szCs w:val="28"/>
        </w:rPr>
        <w:t xml:space="preserve"> Спіллейна (Spillane, 2006), Гронна (Gronn, 2002) та постструктуралістські підходи (Rinaldi, </w:t>
      </w:r>
      <w:r>
        <w:rPr>
          <w:rFonts w:ascii="Times New Roman" w:eastAsia="Times New Roman" w:hAnsi="Times New Roman" w:cs="Times New Roman"/>
          <w:sz w:val="28"/>
          <w:szCs w:val="28"/>
        </w:rPr>
        <w:t>2006; Dahlberg &amp; Moss, 2005),  а також практика</w:t>
      </w:r>
      <w:r w:rsidRPr="002E5F1B">
        <w:rPr>
          <w:rFonts w:ascii="Times New Roman" w:eastAsia="Times New Roman" w:hAnsi="Times New Roman" w:cs="Times New Roman"/>
          <w:sz w:val="28"/>
          <w:szCs w:val="28"/>
        </w:rPr>
        <w:t xml:space="preserve"> ротаційного головування на рефлексивних колах і тимчасових лідерських ролях (1–3 місяці), як у Реджіо-Емілія та шведських моделях.</w:t>
      </w:r>
    </w:p>
    <w:p w:rsidR="009E5EF7" w:rsidRDefault="002E5F1B" w:rsidP="009E5EF7">
      <w:pPr>
        <w:spacing w:after="0" w:line="360" w:lineRule="auto"/>
        <w:ind w:firstLine="708"/>
        <w:jc w:val="both"/>
        <w:rPr>
          <w:rFonts w:ascii="Times New Roman" w:eastAsia="Times New Roman" w:hAnsi="Times New Roman" w:cs="Times New Roman"/>
          <w:sz w:val="28"/>
          <w:szCs w:val="28"/>
        </w:rPr>
      </w:pPr>
      <w:r w:rsidRPr="009E5EF7">
        <w:rPr>
          <w:rFonts w:ascii="Times New Roman" w:eastAsia="Times New Roman" w:hAnsi="Times New Roman" w:cs="Times New Roman"/>
          <w:i/>
          <w:sz w:val="28"/>
          <w:szCs w:val="28"/>
        </w:rPr>
        <w:t>Принцип 3</w:t>
      </w:r>
      <w:r w:rsidR="009E5EF7">
        <w:rPr>
          <w:rFonts w:ascii="Times New Roman" w:eastAsia="Times New Roman" w:hAnsi="Times New Roman" w:cs="Times New Roman"/>
          <w:i/>
          <w:sz w:val="28"/>
          <w:szCs w:val="28"/>
        </w:rPr>
        <w:t xml:space="preserve">. Емерджентного планування, </w:t>
      </w:r>
      <w:r w:rsidR="009E5EF7">
        <w:rPr>
          <w:rFonts w:ascii="Times New Roman" w:eastAsia="Times New Roman" w:hAnsi="Times New Roman" w:cs="Times New Roman"/>
          <w:sz w:val="28"/>
          <w:szCs w:val="28"/>
        </w:rPr>
        <w:t>в основі якого ідеї</w:t>
      </w:r>
      <w:r w:rsidRPr="002E5F1B">
        <w:rPr>
          <w:rFonts w:ascii="Times New Roman" w:eastAsia="Times New Roman" w:hAnsi="Times New Roman" w:cs="Times New Roman"/>
          <w:sz w:val="28"/>
          <w:szCs w:val="28"/>
        </w:rPr>
        <w:t xml:space="preserve"> радикального конструктивізму (von Glasersfeld, 1995; Forman, 2017), де </w:t>
      </w:r>
      <w:r w:rsidRPr="002E5F1B">
        <w:rPr>
          <w:rFonts w:ascii="Times New Roman" w:eastAsia="Times New Roman" w:hAnsi="Times New Roman" w:cs="Times New Roman"/>
          <w:sz w:val="28"/>
          <w:szCs w:val="28"/>
        </w:rPr>
        <w:lastRenderedPageBreak/>
        <w:t>план на тиждень або місяць виникає з документації та дитячих ініціатив, аналогічно до Реджіо-Емілія та Te Whāriki (Nuttall, 2013).</w:t>
      </w:r>
    </w:p>
    <w:p w:rsidR="002E5F1B" w:rsidRPr="002E5F1B" w:rsidRDefault="002E5F1B" w:rsidP="009E5EF7">
      <w:pPr>
        <w:spacing w:after="0" w:line="360" w:lineRule="auto"/>
        <w:ind w:firstLine="708"/>
        <w:jc w:val="both"/>
        <w:rPr>
          <w:rFonts w:ascii="Times New Roman" w:eastAsia="Times New Roman" w:hAnsi="Times New Roman" w:cs="Times New Roman"/>
          <w:sz w:val="28"/>
          <w:szCs w:val="28"/>
        </w:rPr>
      </w:pPr>
      <w:r w:rsidRPr="009E5EF7">
        <w:rPr>
          <w:rFonts w:ascii="Times New Roman" w:eastAsia="Times New Roman" w:hAnsi="Times New Roman" w:cs="Times New Roman"/>
          <w:i/>
          <w:sz w:val="28"/>
          <w:szCs w:val="28"/>
        </w:rPr>
        <w:t>Принцип 4</w:t>
      </w:r>
      <w:r w:rsidR="009E5EF7" w:rsidRPr="009E5EF7">
        <w:rPr>
          <w:rFonts w:ascii="Times New Roman" w:eastAsia="Times New Roman" w:hAnsi="Times New Roman" w:cs="Times New Roman"/>
          <w:i/>
          <w:sz w:val="28"/>
          <w:szCs w:val="28"/>
        </w:rPr>
        <w:t>.</w:t>
      </w:r>
      <w:r w:rsidR="009E5EF7" w:rsidRPr="009E5EF7">
        <w:rPr>
          <w:rFonts w:ascii="Times New Roman" w:eastAsia="Times New Roman" w:hAnsi="Times New Roman" w:cs="Times New Roman"/>
          <w:sz w:val="28"/>
          <w:szCs w:val="28"/>
        </w:rPr>
        <w:t xml:space="preserve"> </w:t>
      </w:r>
      <w:r w:rsidR="009E5EF7" w:rsidRPr="009E5EF7">
        <w:rPr>
          <w:rFonts w:ascii="Times New Roman" w:hAnsi="Times New Roman" w:cs="Times New Roman"/>
          <w:i/>
          <w:sz w:val="28"/>
          <w:szCs w:val="28"/>
        </w:rPr>
        <w:t>Середовище як динамічна система зворотного зв’язку</w:t>
      </w:r>
      <w:r w:rsidR="009E5EF7">
        <w:rPr>
          <w:rFonts w:ascii="Times New Roman" w:eastAsia="Times New Roman" w:hAnsi="Times New Roman" w:cs="Times New Roman"/>
          <w:sz w:val="28"/>
          <w:szCs w:val="28"/>
        </w:rPr>
        <w:t xml:space="preserve">, ґрунтується на </w:t>
      </w:r>
      <w:r w:rsidRPr="002E5F1B">
        <w:rPr>
          <w:rFonts w:ascii="Times New Roman" w:eastAsia="Times New Roman" w:hAnsi="Times New Roman" w:cs="Times New Roman"/>
          <w:sz w:val="28"/>
          <w:szCs w:val="28"/>
        </w:rPr>
        <w:t>ідеї Рінальді (Rinaldi, 2006) та Денерво (Denervaud et al., 2020a), з щотижневим перепроєктуванням зон активності за результатами спостережень, як у Монтессорі та Реджіо (Vecchi, 2010).</w:t>
      </w:r>
    </w:p>
    <w:p w:rsidR="002E5F1B" w:rsidRPr="002E5F1B" w:rsidRDefault="002E5F1B" w:rsidP="002E5F1B">
      <w:pPr>
        <w:spacing w:after="0" w:line="360" w:lineRule="auto"/>
        <w:ind w:firstLine="708"/>
        <w:jc w:val="both"/>
        <w:rPr>
          <w:rFonts w:ascii="Times New Roman" w:eastAsia="Times New Roman" w:hAnsi="Times New Roman" w:cs="Times New Roman"/>
          <w:sz w:val="28"/>
          <w:szCs w:val="28"/>
        </w:rPr>
      </w:pPr>
      <w:r w:rsidRPr="009E5EF7">
        <w:rPr>
          <w:rFonts w:ascii="Times New Roman" w:eastAsia="Times New Roman" w:hAnsi="Times New Roman" w:cs="Times New Roman"/>
          <w:i/>
          <w:sz w:val="28"/>
          <w:szCs w:val="28"/>
        </w:rPr>
        <w:t>Принцип 5</w:t>
      </w:r>
      <w:r w:rsidR="009E5EF7">
        <w:rPr>
          <w:rFonts w:ascii="Times New Roman" w:eastAsia="Times New Roman" w:hAnsi="Times New Roman" w:cs="Times New Roman"/>
          <w:i/>
          <w:sz w:val="28"/>
          <w:szCs w:val="28"/>
        </w:rPr>
        <w:t>.</w:t>
      </w:r>
      <w:r w:rsidR="009E5EF7">
        <w:rPr>
          <w:rFonts w:ascii="Times New Roman" w:eastAsia="Times New Roman" w:hAnsi="Times New Roman" w:cs="Times New Roman"/>
          <w:sz w:val="28"/>
          <w:szCs w:val="28"/>
        </w:rPr>
        <w:t xml:space="preserve"> </w:t>
      </w:r>
      <w:r w:rsidR="009E5EF7">
        <w:rPr>
          <w:rFonts w:ascii="Times New Roman" w:eastAsia="Times New Roman" w:hAnsi="Times New Roman" w:cs="Times New Roman"/>
          <w:i/>
          <w:sz w:val="28"/>
          <w:szCs w:val="28"/>
        </w:rPr>
        <w:t>П</w:t>
      </w:r>
      <w:r w:rsidRPr="009E5EF7">
        <w:rPr>
          <w:rFonts w:ascii="Times New Roman" w:eastAsia="Times New Roman" w:hAnsi="Times New Roman" w:cs="Times New Roman"/>
          <w:i/>
          <w:sz w:val="28"/>
          <w:szCs w:val="28"/>
        </w:rPr>
        <w:t>едагогічна документація як інструмент рефлексії</w:t>
      </w:r>
      <w:r w:rsidRPr="002E5F1B">
        <w:rPr>
          <w:rFonts w:ascii="Times New Roman" w:eastAsia="Times New Roman" w:hAnsi="Times New Roman" w:cs="Times New Roman"/>
          <w:sz w:val="28"/>
          <w:szCs w:val="28"/>
        </w:rPr>
        <w:t xml:space="preserve"> базується на роботах Малагуцці (Malaguzzi, 1996) та Джудічі (Giudici &amp; Krechevsky, 2018; Wien, 2015), з використання</w:t>
      </w:r>
      <w:r w:rsidR="009E5EF7">
        <w:rPr>
          <w:rFonts w:ascii="Times New Roman" w:eastAsia="Times New Roman" w:hAnsi="Times New Roman" w:cs="Times New Roman"/>
          <w:sz w:val="28"/>
          <w:szCs w:val="28"/>
        </w:rPr>
        <w:t>м цифрових панелей (фото, цитат</w:t>
      </w:r>
      <w:r w:rsidRPr="002E5F1B">
        <w:rPr>
          <w:rFonts w:ascii="Times New Roman" w:eastAsia="Times New Roman" w:hAnsi="Times New Roman" w:cs="Times New Roman"/>
          <w:sz w:val="28"/>
          <w:szCs w:val="28"/>
        </w:rPr>
        <w:t xml:space="preserve"> дітей,</w:t>
      </w:r>
      <w:r w:rsidR="007F27A8">
        <w:rPr>
          <w:rFonts w:ascii="Times New Roman" w:eastAsia="Times New Roman" w:hAnsi="Times New Roman" w:cs="Times New Roman"/>
          <w:sz w:val="28"/>
          <w:szCs w:val="28"/>
        </w:rPr>
        <w:t xml:space="preserve"> гіпотез</w:t>
      </w:r>
      <w:r w:rsidRPr="002E5F1B">
        <w:rPr>
          <w:rFonts w:ascii="Times New Roman" w:eastAsia="Times New Roman" w:hAnsi="Times New Roman" w:cs="Times New Roman"/>
          <w:sz w:val="28"/>
          <w:szCs w:val="28"/>
        </w:rPr>
        <w:t xml:space="preserve"> педагогів).</w:t>
      </w:r>
    </w:p>
    <w:p w:rsidR="002E5F1B" w:rsidRPr="002E5F1B" w:rsidRDefault="002E5F1B" w:rsidP="00C55DCB">
      <w:pPr>
        <w:spacing w:after="0" w:line="360" w:lineRule="auto"/>
        <w:ind w:firstLine="708"/>
        <w:jc w:val="both"/>
        <w:rPr>
          <w:rFonts w:ascii="Times New Roman" w:eastAsia="Times New Roman" w:hAnsi="Times New Roman" w:cs="Times New Roman"/>
          <w:sz w:val="28"/>
          <w:szCs w:val="28"/>
        </w:rPr>
      </w:pPr>
      <w:r w:rsidRPr="009E5EF7">
        <w:rPr>
          <w:rFonts w:ascii="Times New Roman" w:eastAsia="Times New Roman" w:hAnsi="Times New Roman" w:cs="Times New Roman"/>
          <w:i/>
          <w:sz w:val="28"/>
          <w:szCs w:val="28"/>
        </w:rPr>
        <w:t>Принцип 6</w:t>
      </w:r>
      <w:r w:rsidR="009E5EF7">
        <w:rPr>
          <w:rFonts w:ascii="Times New Roman" w:eastAsia="Times New Roman" w:hAnsi="Times New Roman" w:cs="Times New Roman"/>
          <w:i/>
          <w:sz w:val="28"/>
          <w:szCs w:val="28"/>
        </w:rPr>
        <w:t>.</w:t>
      </w:r>
      <w:r w:rsidRPr="009E5EF7">
        <w:rPr>
          <w:rFonts w:ascii="Times New Roman" w:eastAsia="Times New Roman" w:hAnsi="Times New Roman" w:cs="Times New Roman"/>
          <w:i/>
          <w:sz w:val="28"/>
          <w:szCs w:val="28"/>
        </w:rPr>
        <w:t xml:space="preserve"> </w:t>
      </w:r>
      <w:r w:rsidR="009E5EF7">
        <w:rPr>
          <w:rFonts w:ascii="Times New Roman" w:eastAsia="Times New Roman" w:hAnsi="Times New Roman" w:cs="Times New Roman"/>
          <w:i/>
          <w:sz w:val="28"/>
          <w:szCs w:val="28"/>
        </w:rPr>
        <w:t>Р</w:t>
      </w:r>
      <w:r w:rsidRPr="009E5EF7">
        <w:rPr>
          <w:rFonts w:ascii="Times New Roman" w:eastAsia="Times New Roman" w:hAnsi="Times New Roman" w:cs="Times New Roman"/>
          <w:i/>
          <w:sz w:val="28"/>
          <w:szCs w:val="28"/>
        </w:rPr>
        <w:t>екурсивні рефлексивні цикли замість лінійних нарад</w:t>
      </w:r>
      <w:r w:rsidR="009E5EF7">
        <w:rPr>
          <w:rFonts w:ascii="Times New Roman" w:eastAsia="Times New Roman" w:hAnsi="Times New Roman" w:cs="Times New Roman"/>
          <w:i/>
          <w:sz w:val="28"/>
          <w:szCs w:val="28"/>
        </w:rPr>
        <w:t xml:space="preserve">. </w:t>
      </w:r>
      <w:r w:rsidR="009E5EF7" w:rsidRPr="009E5EF7">
        <w:rPr>
          <w:rFonts w:ascii="Times New Roman" w:eastAsia="Times New Roman" w:hAnsi="Times New Roman" w:cs="Times New Roman"/>
          <w:sz w:val="28"/>
          <w:szCs w:val="28"/>
        </w:rPr>
        <w:t>Цей принцип</w:t>
      </w:r>
      <w:r w:rsidRPr="002E5F1B">
        <w:rPr>
          <w:rFonts w:ascii="Times New Roman" w:eastAsia="Times New Roman" w:hAnsi="Times New Roman" w:cs="Times New Roman"/>
          <w:sz w:val="28"/>
          <w:szCs w:val="28"/>
        </w:rPr>
        <w:t xml:space="preserve"> спирається на </w:t>
      </w:r>
      <w:r w:rsidR="009E5EF7">
        <w:rPr>
          <w:rFonts w:ascii="Times New Roman" w:eastAsia="Times New Roman" w:hAnsi="Times New Roman" w:cs="Times New Roman"/>
          <w:sz w:val="28"/>
          <w:szCs w:val="28"/>
        </w:rPr>
        <w:t xml:space="preserve">дослідження </w:t>
      </w:r>
      <w:r w:rsidRPr="002E5F1B">
        <w:rPr>
          <w:rFonts w:ascii="Times New Roman" w:eastAsia="Times New Roman" w:hAnsi="Times New Roman" w:cs="Times New Roman"/>
          <w:sz w:val="28"/>
          <w:szCs w:val="28"/>
        </w:rPr>
        <w:t>Бейтсона (Bateson, 1972) та Шена (Schön, 1983), з 60-хвилинними щотижневими колами за фіксованим протоколом (Tarr, 2011).</w:t>
      </w:r>
    </w:p>
    <w:p w:rsidR="002E5F1B" w:rsidRPr="002E5F1B" w:rsidRDefault="009E5EF7" w:rsidP="002E5F1B">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Принцип 7. Передбачає демократичну спільноту</w:t>
      </w:r>
      <w:r w:rsidR="002E5F1B" w:rsidRPr="009E5EF7">
        <w:rPr>
          <w:rFonts w:ascii="Times New Roman" w:eastAsia="Times New Roman" w:hAnsi="Times New Roman" w:cs="Times New Roman"/>
          <w:i/>
          <w:sz w:val="28"/>
          <w:szCs w:val="28"/>
        </w:rPr>
        <w:t xml:space="preserve"> та легітимність голосу дитини</w:t>
      </w:r>
      <w:r>
        <w:rPr>
          <w:rFonts w:ascii="Times New Roman" w:eastAsia="Times New Roman" w:hAnsi="Times New Roman" w:cs="Times New Roman"/>
          <w:sz w:val="28"/>
          <w:szCs w:val="28"/>
        </w:rPr>
        <w:t>, ґрунтується на ідеях</w:t>
      </w:r>
      <w:r w:rsidR="002E5F1B" w:rsidRPr="002E5F1B">
        <w:rPr>
          <w:rFonts w:ascii="Times New Roman" w:eastAsia="Times New Roman" w:hAnsi="Times New Roman" w:cs="Times New Roman"/>
          <w:sz w:val="28"/>
          <w:szCs w:val="28"/>
        </w:rPr>
        <w:t xml:space="preserve"> Д’юї (Dewey, 1938/1997; Fielding, 2012; Nuttall, 2013), з дитячими зборами для дітей 4–6 років (голосування, планування), як у Te Whāriki (Meade, 2021).</w:t>
      </w:r>
    </w:p>
    <w:p w:rsidR="002E5F1B" w:rsidRPr="002E5F1B" w:rsidRDefault="009C6EC7" w:rsidP="002E5F1B">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Принцип 8. Циклічність процесуального</w:t>
      </w:r>
      <w:r w:rsidR="002E5F1B" w:rsidRPr="009C6EC7">
        <w:rPr>
          <w:rFonts w:ascii="Times New Roman" w:eastAsia="Times New Roman" w:hAnsi="Times New Roman" w:cs="Times New Roman"/>
          <w:i/>
          <w:sz w:val="28"/>
          <w:szCs w:val="28"/>
        </w:rPr>
        <w:t xml:space="preserve"> </w:t>
      </w:r>
      <w:r w:rsidRPr="009C6EC7">
        <w:rPr>
          <w:rFonts w:ascii="Times New Roman" w:eastAsia="Times New Roman" w:hAnsi="Times New Roman" w:cs="Times New Roman"/>
          <w:i/>
          <w:sz w:val="28"/>
          <w:szCs w:val="28"/>
        </w:rPr>
        <w:t>підход</w:t>
      </w:r>
      <w:r>
        <w:rPr>
          <w:rFonts w:ascii="Times New Roman" w:eastAsia="Times New Roman" w:hAnsi="Times New Roman" w:cs="Times New Roman"/>
          <w:i/>
          <w:sz w:val="28"/>
          <w:szCs w:val="28"/>
        </w:rPr>
        <w:t>у</w:t>
      </w:r>
      <w:r w:rsidR="002E5F1B" w:rsidRPr="009C6EC7">
        <w:rPr>
          <w:rFonts w:ascii="Times New Roman" w:eastAsia="Times New Roman" w:hAnsi="Times New Roman" w:cs="Times New Roman"/>
          <w:i/>
          <w:sz w:val="28"/>
          <w:szCs w:val="28"/>
        </w:rPr>
        <w:t xml:space="preserve"> «досвід </w:t>
      </w:r>
      <w:r>
        <w:rPr>
          <w:rFonts w:ascii="Times New Roman" w:eastAsia="Times New Roman" w:hAnsi="Times New Roman" w:cs="Times New Roman"/>
          <w:i/>
          <w:sz w:val="28"/>
          <w:szCs w:val="28"/>
        </w:rPr>
        <w:t xml:space="preserve">– </w:t>
      </w:r>
      <w:r w:rsidR="002E5F1B" w:rsidRPr="009C6EC7">
        <w:rPr>
          <w:rFonts w:ascii="Times New Roman" w:eastAsia="Times New Roman" w:hAnsi="Times New Roman" w:cs="Times New Roman"/>
          <w:i/>
          <w:sz w:val="28"/>
          <w:szCs w:val="28"/>
        </w:rPr>
        <w:t>рефлексія</w:t>
      </w:r>
      <w:r w:rsidR="007F27A8">
        <w:rPr>
          <w:rFonts w:ascii="Times New Roman" w:eastAsia="Times New Roman" w:hAnsi="Times New Roman" w:cs="Times New Roman"/>
          <w:i/>
          <w:sz w:val="28"/>
          <w:szCs w:val="28"/>
        </w:rPr>
        <w:t> </w:t>
      </w:r>
      <w:r w:rsidR="002E5F1B" w:rsidRPr="009C6EC7">
        <w:rPr>
          <w:rFonts w:ascii="Times New Roman" w:eastAsia="Times New Roman" w:hAnsi="Times New Roman" w:cs="Times New Roman"/>
          <w:i/>
          <w:sz w:val="28"/>
          <w:szCs w:val="28"/>
        </w:rPr>
        <w:t>– новий досвід»</w:t>
      </w:r>
      <w:r>
        <w:rPr>
          <w:rFonts w:ascii="Times New Roman" w:eastAsia="Times New Roman" w:hAnsi="Times New Roman" w:cs="Times New Roman"/>
          <w:sz w:val="28"/>
          <w:szCs w:val="28"/>
        </w:rPr>
        <w:t xml:space="preserve"> –</w:t>
      </w:r>
      <w:r w:rsidR="002E5F1B" w:rsidRPr="002E5F1B">
        <w:rPr>
          <w:rFonts w:ascii="Times New Roman" w:eastAsia="Times New Roman" w:hAnsi="Times New Roman" w:cs="Times New Roman"/>
          <w:sz w:val="28"/>
          <w:szCs w:val="28"/>
        </w:rPr>
        <w:t xml:space="preserve"> безпосередньо з </w:t>
      </w:r>
      <w:r>
        <w:rPr>
          <w:rFonts w:ascii="Times New Roman" w:eastAsia="Times New Roman" w:hAnsi="Times New Roman" w:cs="Times New Roman"/>
          <w:sz w:val="28"/>
          <w:szCs w:val="28"/>
        </w:rPr>
        <w:t xml:space="preserve">робіт </w:t>
      </w:r>
      <w:r w:rsidR="002E5F1B" w:rsidRPr="002E5F1B">
        <w:rPr>
          <w:rFonts w:ascii="Times New Roman" w:eastAsia="Times New Roman" w:hAnsi="Times New Roman" w:cs="Times New Roman"/>
          <w:sz w:val="28"/>
          <w:szCs w:val="28"/>
        </w:rPr>
        <w:t>Д’юї, з повним проєктним циклом у кожній групі.</w:t>
      </w:r>
    </w:p>
    <w:p w:rsidR="002E5F1B" w:rsidRPr="002E5F1B" w:rsidRDefault="009C6EC7" w:rsidP="002E5F1B">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Принцип 9. Співпраці з батьками як спів</w:t>
      </w:r>
      <w:r w:rsidR="007F27A8">
        <w:rPr>
          <w:rFonts w:ascii="Times New Roman" w:eastAsia="Times New Roman" w:hAnsi="Times New Roman" w:cs="Times New Roman"/>
          <w:i/>
          <w:sz w:val="28"/>
          <w:szCs w:val="28"/>
        </w:rPr>
        <w:t xml:space="preserve"> </w:t>
      </w:r>
      <w:r>
        <w:rPr>
          <w:rFonts w:ascii="Times New Roman" w:eastAsia="Times New Roman" w:hAnsi="Times New Roman" w:cs="Times New Roman"/>
          <w:i/>
          <w:sz w:val="28"/>
          <w:szCs w:val="28"/>
        </w:rPr>
        <w:t>спостерігачами</w:t>
      </w:r>
      <w:r w:rsidR="002E5F1B" w:rsidRPr="009C6EC7">
        <w:rPr>
          <w:rFonts w:ascii="Times New Roman" w:eastAsia="Times New Roman" w:hAnsi="Times New Roman" w:cs="Times New Roman"/>
          <w:i/>
          <w:sz w:val="28"/>
          <w:szCs w:val="28"/>
        </w:rPr>
        <w:t xml:space="preserve"> та </w:t>
      </w:r>
      <w:r>
        <w:rPr>
          <w:rFonts w:ascii="Times New Roman" w:eastAsia="Times New Roman" w:hAnsi="Times New Roman" w:cs="Times New Roman"/>
          <w:i/>
          <w:sz w:val="28"/>
          <w:szCs w:val="28"/>
        </w:rPr>
        <w:t>спів конструкторами,</w:t>
      </w:r>
      <w:r w:rsidR="002E5F1B" w:rsidRPr="002E5F1B">
        <w:rPr>
          <w:rFonts w:ascii="Times New Roman" w:eastAsia="Times New Roman" w:hAnsi="Times New Roman" w:cs="Times New Roman"/>
          <w:sz w:val="28"/>
          <w:szCs w:val="28"/>
        </w:rPr>
        <w:t xml:space="preserve"> ґрунтується на </w:t>
      </w:r>
      <w:r w:rsidR="007F27A8">
        <w:rPr>
          <w:rFonts w:ascii="Times New Roman" w:eastAsia="Times New Roman" w:hAnsi="Times New Roman" w:cs="Times New Roman"/>
          <w:sz w:val="28"/>
          <w:szCs w:val="28"/>
        </w:rPr>
        <w:t>ідеях Венгера</w:t>
      </w:r>
      <w:r w:rsidR="002E5F1B" w:rsidRPr="002E5F1B">
        <w:rPr>
          <w:rFonts w:ascii="Times New Roman" w:eastAsia="Times New Roman" w:hAnsi="Times New Roman" w:cs="Times New Roman"/>
          <w:sz w:val="28"/>
          <w:szCs w:val="28"/>
        </w:rPr>
        <w:t xml:space="preserve"> (Wenger, 1998) та Едвардс (Edwards et al., 2012), зі спільними рефлексивними зустрічами та доступом до цифрової документації (Parnell, 2012).</w:t>
      </w:r>
    </w:p>
    <w:p w:rsidR="002E5F1B" w:rsidRPr="002E5F1B" w:rsidRDefault="009C6EC7" w:rsidP="002E5F1B">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Принцип 10. В</w:t>
      </w:r>
      <w:r w:rsidR="007F27A8">
        <w:rPr>
          <w:rFonts w:ascii="Times New Roman" w:eastAsia="Times New Roman" w:hAnsi="Times New Roman" w:cs="Times New Roman"/>
          <w:i/>
          <w:sz w:val="28"/>
          <w:szCs w:val="28"/>
        </w:rPr>
        <w:t>нутрішньої самооцінки</w:t>
      </w:r>
      <w:r w:rsidR="002E5F1B" w:rsidRPr="009C6EC7">
        <w:rPr>
          <w:rFonts w:ascii="Times New Roman" w:eastAsia="Times New Roman" w:hAnsi="Times New Roman" w:cs="Times New Roman"/>
          <w:i/>
          <w:sz w:val="28"/>
          <w:szCs w:val="28"/>
        </w:rPr>
        <w:t xml:space="preserve"> якості</w:t>
      </w:r>
      <w:r>
        <w:rPr>
          <w:rFonts w:ascii="Times New Roman" w:eastAsia="Times New Roman" w:hAnsi="Times New Roman" w:cs="Times New Roman"/>
          <w:sz w:val="28"/>
          <w:szCs w:val="28"/>
        </w:rPr>
        <w:t>, який</w:t>
      </w:r>
      <w:r w:rsidR="002E5F1B" w:rsidRPr="002E5F1B">
        <w:rPr>
          <w:rFonts w:ascii="Times New Roman" w:eastAsia="Times New Roman" w:hAnsi="Times New Roman" w:cs="Times New Roman"/>
          <w:sz w:val="28"/>
          <w:szCs w:val="28"/>
        </w:rPr>
        <w:t xml:space="preserve"> поєднує </w:t>
      </w:r>
      <w:r>
        <w:rPr>
          <w:rFonts w:ascii="Times New Roman" w:eastAsia="Times New Roman" w:hAnsi="Times New Roman" w:cs="Times New Roman"/>
          <w:sz w:val="28"/>
          <w:szCs w:val="28"/>
        </w:rPr>
        <w:t xml:space="preserve">ідеї </w:t>
      </w:r>
      <w:r w:rsidR="002E5F1B" w:rsidRPr="002E5F1B">
        <w:rPr>
          <w:rFonts w:ascii="Times New Roman" w:eastAsia="Times New Roman" w:hAnsi="Times New Roman" w:cs="Times New Roman"/>
          <w:sz w:val="28"/>
          <w:szCs w:val="28"/>
        </w:rPr>
        <w:t>Ферстера (Foerster, 2003) з інструментальними шкалами (Harms et al., 2015), з комбінацією ECERS-3 та рефлексивних протоколів двічі на рік.</w:t>
      </w:r>
    </w:p>
    <w:p w:rsidR="002E5F1B" w:rsidRPr="002E5F1B" w:rsidRDefault="002E5F1B" w:rsidP="002E5F1B">
      <w:pPr>
        <w:spacing w:after="0" w:line="360" w:lineRule="auto"/>
        <w:ind w:firstLine="708"/>
        <w:jc w:val="both"/>
        <w:rPr>
          <w:rFonts w:ascii="Times New Roman" w:eastAsia="Times New Roman" w:hAnsi="Times New Roman" w:cs="Times New Roman"/>
          <w:sz w:val="28"/>
          <w:szCs w:val="28"/>
        </w:rPr>
      </w:pPr>
      <w:r w:rsidRPr="009C6EC7">
        <w:rPr>
          <w:rFonts w:ascii="Times New Roman" w:eastAsia="Times New Roman" w:hAnsi="Times New Roman" w:cs="Times New Roman"/>
          <w:i/>
          <w:sz w:val="28"/>
          <w:szCs w:val="28"/>
        </w:rPr>
        <w:t>Принцип 11</w:t>
      </w:r>
      <w:r w:rsidR="009C6EC7">
        <w:rPr>
          <w:rFonts w:ascii="Times New Roman" w:eastAsia="Times New Roman" w:hAnsi="Times New Roman" w:cs="Times New Roman"/>
          <w:i/>
          <w:sz w:val="28"/>
          <w:szCs w:val="28"/>
        </w:rPr>
        <w:t>.</w:t>
      </w:r>
      <w:r w:rsidRPr="002E5F1B">
        <w:rPr>
          <w:rFonts w:ascii="Times New Roman" w:eastAsia="Times New Roman" w:hAnsi="Times New Roman" w:cs="Times New Roman"/>
          <w:sz w:val="28"/>
          <w:szCs w:val="28"/>
        </w:rPr>
        <w:t xml:space="preserve"> </w:t>
      </w:r>
      <w:r w:rsidR="009C6EC7" w:rsidRPr="009C6EC7">
        <w:rPr>
          <w:rFonts w:ascii="Times New Roman" w:eastAsia="Times New Roman" w:hAnsi="Times New Roman" w:cs="Times New Roman"/>
          <w:i/>
          <w:sz w:val="28"/>
          <w:szCs w:val="28"/>
        </w:rPr>
        <w:t>Безперервності професійного</w:t>
      </w:r>
      <w:r w:rsidRPr="009C6EC7">
        <w:rPr>
          <w:rFonts w:ascii="Times New Roman" w:eastAsia="Times New Roman" w:hAnsi="Times New Roman" w:cs="Times New Roman"/>
          <w:i/>
          <w:sz w:val="28"/>
          <w:szCs w:val="28"/>
        </w:rPr>
        <w:t xml:space="preserve"> навчання у дії</w:t>
      </w:r>
      <w:r w:rsidR="009C6EC7">
        <w:rPr>
          <w:rFonts w:ascii="Times New Roman" w:eastAsia="Times New Roman" w:hAnsi="Times New Roman" w:cs="Times New Roman"/>
          <w:i/>
          <w:sz w:val="28"/>
          <w:szCs w:val="28"/>
        </w:rPr>
        <w:t xml:space="preserve">, </w:t>
      </w:r>
      <w:r w:rsidR="009C6EC7" w:rsidRPr="009C6EC7">
        <w:rPr>
          <w:rFonts w:ascii="Times New Roman" w:eastAsia="Times New Roman" w:hAnsi="Times New Roman" w:cs="Times New Roman"/>
          <w:sz w:val="28"/>
          <w:szCs w:val="28"/>
        </w:rPr>
        <w:t xml:space="preserve">передбачає поєднання </w:t>
      </w:r>
      <w:r w:rsidR="009C6EC7">
        <w:rPr>
          <w:rFonts w:ascii="Times New Roman" w:eastAsia="Times New Roman" w:hAnsi="Times New Roman" w:cs="Times New Roman"/>
          <w:sz w:val="28"/>
          <w:szCs w:val="28"/>
        </w:rPr>
        <w:t xml:space="preserve">ідей </w:t>
      </w:r>
      <w:r w:rsidRPr="009C6EC7">
        <w:rPr>
          <w:rFonts w:ascii="Times New Roman" w:eastAsia="Times New Roman" w:hAnsi="Times New Roman" w:cs="Times New Roman"/>
          <w:sz w:val="28"/>
          <w:szCs w:val="28"/>
        </w:rPr>
        <w:t>Венгера (Wenger, 1998), Рінальді (Rinaldi, 2006</w:t>
      </w:r>
      <w:r w:rsidRPr="002E5F1B">
        <w:rPr>
          <w:rFonts w:ascii="Times New Roman" w:eastAsia="Times New Roman" w:hAnsi="Times New Roman" w:cs="Times New Roman"/>
          <w:sz w:val="28"/>
          <w:szCs w:val="28"/>
        </w:rPr>
        <w:t xml:space="preserve">) та OECD </w:t>
      </w:r>
      <w:r w:rsidRPr="002E5F1B">
        <w:rPr>
          <w:rFonts w:ascii="Times New Roman" w:eastAsia="Times New Roman" w:hAnsi="Times New Roman" w:cs="Times New Roman"/>
          <w:sz w:val="28"/>
          <w:szCs w:val="28"/>
        </w:rPr>
        <w:lastRenderedPageBreak/>
        <w:t>(2020), з горизонтальними спільнотами практики всередині мережі ЗДО (Sheridan et al., 2011).</w:t>
      </w:r>
    </w:p>
    <w:p w:rsidR="002E5F1B" w:rsidRPr="002E5F1B" w:rsidRDefault="009C6EC7" w:rsidP="009C6EC7">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Виходячи з виокремлених принципів, було побудовано структурно-функціональну</w:t>
      </w:r>
      <w:r w:rsidR="002E5F1B" w:rsidRPr="002E5F1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модель</w:t>
      </w:r>
      <w:r w:rsidRPr="009C6EC7">
        <w:rPr>
          <w:rFonts w:ascii="Times New Roman" w:eastAsia="Times New Roman" w:hAnsi="Times New Roman" w:cs="Times New Roman"/>
          <w:sz w:val="28"/>
          <w:szCs w:val="28"/>
        </w:rPr>
        <w:t xml:space="preserve"> </w:t>
      </w:r>
      <w:r w:rsidRPr="002E5F1B">
        <w:rPr>
          <w:rFonts w:ascii="Times New Roman" w:eastAsia="Times New Roman" w:hAnsi="Times New Roman" w:cs="Times New Roman"/>
          <w:sz w:val="28"/>
          <w:szCs w:val="28"/>
        </w:rPr>
        <w:t>трансформації управління ЗДО.</w:t>
      </w:r>
      <w:r>
        <w:rPr>
          <w:rFonts w:ascii="Times New Roman" w:eastAsia="Times New Roman" w:hAnsi="Times New Roman" w:cs="Times New Roman"/>
          <w:sz w:val="28"/>
          <w:szCs w:val="28"/>
        </w:rPr>
        <w:t xml:space="preserve"> </w:t>
      </w:r>
      <w:r w:rsidR="002E5F1B" w:rsidRPr="002E5F1B">
        <w:rPr>
          <w:rFonts w:ascii="Times New Roman" w:eastAsia="Times New Roman" w:hAnsi="Times New Roman" w:cs="Times New Roman"/>
          <w:sz w:val="28"/>
          <w:szCs w:val="28"/>
        </w:rPr>
        <w:t xml:space="preserve">Модель </w:t>
      </w:r>
      <w:r>
        <w:rPr>
          <w:rFonts w:ascii="Times New Roman" w:eastAsia="Times New Roman" w:hAnsi="Times New Roman" w:cs="Times New Roman"/>
          <w:sz w:val="28"/>
          <w:szCs w:val="28"/>
        </w:rPr>
        <w:t>має трирівневу структуру: ядро –</w:t>
      </w:r>
      <w:r w:rsidR="002E5F1B" w:rsidRPr="002E5F1B">
        <w:rPr>
          <w:rFonts w:ascii="Times New Roman" w:eastAsia="Times New Roman" w:hAnsi="Times New Roman" w:cs="Times New Roman"/>
          <w:sz w:val="28"/>
          <w:szCs w:val="28"/>
        </w:rPr>
        <w:t xml:space="preserve"> дитина як автопо</w:t>
      </w:r>
      <w:r>
        <w:rPr>
          <w:rFonts w:ascii="Times New Roman" w:eastAsia="Times New Roman" w:hAnsi="Times New Roman" w:cs="Times New Roman"/>
          <w:sz w:val="28"/>
          <w:szCs w:val="28"/>
        </w:rPr>
        <w:t>езисний суб’єкт; перший контур –</w:t>
      </w:r>
      <w:r w:rsidR="002E5F1B" w:rsidRPr="002E5F1B">
        <w:rPr>
          <w:rFonts w:ascii="Times New Roman" w:eastAsia="Times New Roman" w:hAnsi="Times New Roman" w:cs="Times New Roman"/>
          <w:sz w:val="28"/>
          <w:szCs w:val="28"/>
        </w:rPr>
        <w:t xml:space="preserve"> взаємодія з динамічним середовищем (принципи 1, 4); другий контур </w:t>
      </w:r>
      <w:r>
        <w:rPr>
          <w:rFonts w:ascii="Times New Roman" w:eastAsia="Times New Roman" w:hAnsi="Times New Roman" w:cs="Times New Roman"/>
          <w:sz w:val="28"/>
          <w:szCs w:val="28"/>
        </w:rPr>
        <w:t>–</w:t>
      </w:r>
      <w:r w:rsidR="002E5F1B" w:rsidRPr="002E5F1B">
        <w:rPr>
          <w:rFonts w:ascii="Times New Roman" w:eastAsia="Times New Roman" w:hAnsi="Times New Roman" w:cs="Times New Roman"/>
          <w:sz w:val="28"/>
          <w:szCs w:val="28"/>
        </w:rPr>
        <w:t xml:space="preserve"> педагогічна команда з рекурсивною рефлексією </w:t>
      </w:r>
      <w:r>
        <w:rPr>
          <w:rFonts w:ascii="Times New Roman" w:eastAsia="Times New Roman" w:hAnsi="Times New Roman" w:cs="Times New Roman"/>
          <w:sz w:val="28"/>
          <w:szCs w:val="28"/>
        </w:rPr>
        <w:t>(принципи 5, 6); третій контур –</w:t>
      </w:r>
      <w:r w:rsidR="002E5F1B" w:rsidRPr="002E5F1B">
        <w:rPr>
          <w:rFonts w:ascii="Times New Roman" w:eastAsia="Times New Roman" w:hAnsi="Times New Roman" w:cs="Times New Roman"/>
          <w:sz w:val="28"/>
          <w:szCs w:val="28"/>
        </w:rPr>
        <w:t xml:space="preserve"> демократична спільнота (принципи 7–9); метарівень </w:t>
      </w:r>
      <w:r>
        <w:rPr>
          <w:rFonts w:ascii="Times New Roman" w:eastAsia="Times New Roman" w:hAnsi="Times New Roman" w:cs="Times New Roman"/>
          <w:sz w:val="28"/>
          <w:szCs w:val="28"/>
        </w:rPr>
        <w:t>–</w:t>
      </w:r>
      <w:r w:rsidR="002E5F1B" w:rsidRPr="002E5F1B">
        <w:rPr>
          <w:rFonts w:ascii="Times New Roman" w:eastAsia="Times New Roman" w:hAnsi="Times New Roman" w:cs="Times New Roman"/>
          <w:sz w:val="28"/>
          <w:szCs w:val="28"/>
        </w:rPr>
        <w:t xml:space="preserve"> керівництво як фасилітація (принципи 2, 10, 11).</w:t>
      </w:r>
    </w:p>
    <w:p w:rsidR="002E5F1B" w:rsidRPr="002E5F1B" w:rsidRDefault="009C6EC7" w:rsidP="002E5F1B">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Теоретично обґрунтовані положення розробленої моделі</w:t>
      </w:r>
      <w:r w:rsidR="002E5F1B" w:rsidRPr="002E5F1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передбачають</w:t>
      </w:r>
      <w:r w:rsidR="002E5F1B" w:rsidRPr="002E5F1B">
        <w:rPr>
          <w:rFonts w:ascii="Times New Roman" w:eastAsia="Times New Roman" w:hAnsi="Times New Roman" w:cs="Times New Roman"/>
          <w:sz w:val="28"/>
          <w:szCs w:val="28"/>
        </w:rPr>
        <w:t xml:space="preserve"> зниження адміністратив</w:t>
      </w:r>
      <w:r>
        <w:rPr>
          <w:rFonts w:ascii="Times New Roman" w:eastAsia="Times New Roman" w:hAnsi="Times New Roman" w:cs="Times New Roman"/>
          <w:sz w:val="28"/>
          <w:szCs w:val="28"/>
        </w:rPr>
        <w:t>ного навантаження та вигорання</w:t>
      </w:r>
      <w:r w:rsidR="002E5F1B" w:rsidRPr="002E5F1B">
        <w:rPr>
          <w:rFonts w:ascii="Times New Roman" w:eastAsia="Times New Roman" w:hAnsi="Times New Roman" w:cs="Times New Roman"/>
          <w:sz w:val="28"/>
          <w:szCs w:val="28"/>
        </w:rPr>
        <w:t>, підвищення залученості дітей, зрос</w:t>
      </w:r>
      <w:r>
        <w:rPr>
          <w:rFonts w:ascii="Times New Roman" w:eastAsia="Times New Roman" w:hAnsi="Times New Roman" w:cs="Times New Roman"/>
          <w:sz w:val="28"/>
          <w:szCs w:val="28"/>
        </w:rPr>
        <w:t>тання стійкості системи до криз</w:t>
      </w:r>
      <w:r w:rsidR="002E5F1B" w:rsidRPr="002E5F1B">
        <w:rPr>
          <w:rFonts w:ascii="Times New Roman" w:eastAsia="Times New Roman" w:hAnsi="Times New Roman" w:cs="Times New Roman"/>
          <w:sz w:val="28"/>
          <w:szCs w:val="28"/>
        </w:rPr>
        <w:t xml:space="preserve"> та формування первинного досвіду демократичного</w:t>
      </w:r>
      <w:r>
        <w:rPr>
          <w:rFonts w:ascii="Times New Roman" w:eastAsia="Times New Roman" w:hAnsi="Times New Roman" w:cs="Times New Roman"/>
          <w:sz w:val="28"/>
          <w:szCs w:val="28"/>
        </w:rPr>
        <w:t xml:space="preserve"> управління</w:t>
      </w:r>
      <w:r w:rsidR="002E5F1B" w:rsidRPr="002E5F1B">
        <w:rPr>
          <w:rFonts w:ascii="Times New Roman" w:eastAsia="Times New Roman" w:hAnsi="Times New Roman" w:cs="Times New Roman"/>
          <w:sz w:val="28"/>
          <w:szCs w:val="28"/>
        </w:rPr>
        <w:t>.</w:t>
      </w:r>
    </w:p>
    <w:p w:rsidR="009E09F1" w:rsidRPr="009E09F1" w:rsidRDefault="009E09F1" w:rsidP="009E09F1">
      <w:pPr>
        <w:pStyle w:val="a4"/>
        <w:spacing w:before="0" w:beforeAutospacing="0" w:after="0" w:afterAutospacing="0" w:line="360" w:lineRule="auto"/>
        <w:ind w:firstLine="709"/>
        <w:jc w:val="both"/>
        <w:rPr>
          <w:sz w:val="28"/>
          <w:szCs w:val="28"/>
        </w:rPr>
      </w:pPr>
      <w:r w:rsidRPr="009E09F1">
        <w:rPr>
          <w:b/>
          <w:sz w:val="28"/>
          <w:szCs w:val="28"/>
        </w:rPr>
        <w:t>Обговорення</w:t>
      </w:r>
      <w:r w:rsidRPr="009E09F1">
        <w:rPr>
          <w:sz w:val="28"/>
          <w:szCs w:val="28"/>
        </w:rPr>
        <w:t>. Розроблена конструктивістсько-кібернетична модель менеджмент</w:t>
      </w:r>
      <w:r>
        <w:rPr>
          <w:sz w:val="28"/>
          <w:szCs w:val="28"/>
        </w:rPr>
        <w:t>у ЗДО</w:t>
      </w:r>
      <w:r w:rsidRPr="009E09F1">
        <w:rPr>
          <w:sz w:val="28"/>
          <w:szCs w:val="28"/>
        </w:rPr>
        <w:t xml:space="preserve"> є не ізольованою теоретичною конструкцією, а логічним продовженням найкращих світових практик, адаптованим до українських реалій післявоєнного відновлення. Обговорення результатів передбачає компаративний аналіз моделі з провідними національними системами дошкільної освіти, оцінку її переваг і обмежень, а також проекцію на соціально-політичний контекст України 2025–2035 рр. (OECD, 2020; UNICEF, 2025; European Commission, 2022; Moss, 2019; Betancourt et al., 2023).</w:t>
      </w:r>
    </w:p>
    <w:p w:rsidR="002E5F1B" w:rsidRDefault="009E09F1" w:rsidP="009E09F1">
      <w:pPr>
        <w:pStyle w:val="a4"/>
        <w:spacing w:before="0" w:beforeAutospacing="0" w:after="0" w:afterAutospacing="0" w:line="360" w:lineRule="auto"/>
        <w:ind w:firstLine="709"/>
        <w:jc w:val="both"/>
        <w:rPr>
          <w:sz w:val="28"/>
          <w:szCs w:val="28"/>
        </w:rPr>
      </w:pPr>
      <w:r w:rsidRPr="00C55DCB">
        <w:rPr>
          <w:b/>
          <w:sz w:val="28"/>
          <w:szCs w:val="28"/>
        </w:rPr>
        <w:t>Висновки</w:t>
      </w:r>
      <w:r>
        <w:rPr>
          <w:sz w:val="28"/>
          <w:szCs w:val="28"/>
        </w:rPr>
        <w:t>. Отже, проведене дослідження дозволило теоретично</w:t>
      </w:r>
      <w:r w:rsidRPr="00EA07E7">
        <w:rPr>
          <w:sz w:val="28"/>
          <w:szCs w:val="28"/>
        </w:rPr>
        <w:t xml:space="preserve"> обґрунтува</w:t>
      </w:r>
      <w:r>
        <w:rPr>
          <w:sz w:val="28"/>
          <w:szCs w:val="28"/>
        </w:rPr>
        <w:t>ти</w:t>
      </w:r>
      <w:r w:rsidRPr="00EA07E7">
        <w:rPr>
          <w:sz w:val="28"/>
          <w:szCs w:val="28"/>
        </w:rPr>
        <w:t xml:space="preserve"> та </w:t>
      </w:r>
      <w:r>
        <w:rPr>
          <w:sz w:val="28"/>
          <w:szCs w:val="28"/>
        </w:rPr>
        <w:t>розробити</w:t>
      </w:r>
      <w:r w:rsidRPr="00EA07E7">
        <w:rPr>
          <w:sz w:val="28"/>
          <w:szCs w:val="28"/>
        </w:rPr>
        <w:t xml:space="preserve"> </w:t>
      </w:r>
      <w:r>
        <w:rPr>
          <w:sz w:val="28"/>
          <w:szCs w:val="28"/>
        </w:rPr>
        <w:t>конструктивістсько-кібернетичну</w:t>
      </w:r>
      <w:r w:rsidRPr="00EA07E7">
        <w:rPr>
          <w:sz w:val="28"/>
          <w:szCs w:val="28"/>
        </w:rPr>
        <w:t xml:space="preserve"> мод</w:t>
      </w:r>
      <w:r>
        <w:rPr>
          <w:sz w:val="28"/>
          <w:szCs w:val="28"/>
        </w:rPr>
        <w:t>ель</w:t>
      </w:r>
      <w:r w:rsidRPr="00EA07E7">
        <w:rPr>
          <w:sz w:val="28"/>
          <w:szCs w:val="28"/>
        </w:rPr>
        <w:t xml:space="preserve"> менеджменту закладів дошкільної освіти з розподіленим лідерством як системної альтернативи чинній адміністративно-бюрократичній моделі, з урахуванням викликів післявоєнного відновлення та найкращого світового досвіду (метод</w:t>
      </w:r>
      <w:r>
        <w:rPr>
          <w:sz w:val="28"/>
          <w:szCs w:val="28"/>
        </w:rPr>
        <w:t xml:space="preserve"> Монтессорі, система Реджіо</w:t>
      </w:r>
      <w:r w:rsidRPr="00EA07E7">
        <w:rPr>
          <w:sz w:val="28"/>
          <w:szCs w:val="28"/>
        </w:rPr>
        <w:t>-Емілія, прогресивна педагогіка Дж. Д’юї).</w:t>
      </w:r>
      <w:r>
        <w:rPr>
          <w:sz w:val="28"/>
          <w:szCs w:val="28"/>
        </w:rPr>
        <w:t xml:space="preserve"> Модель</w:t>
      </w:r>
      <w:r w:rsidR="002E5F1B" w:rsidRPr="002E5F1B">
        <w:rPr>
          <w:sz w:val="28"/>
          <w:szCs w:val="28"/>
        </w:rPr>
        <w:t xml:space="preserve"> радикально відрізняється від чинної нормативної моделі України, усуваючи її ключові дисфункції та створюючи передумови </w:t>
      </w:r>
      <w:r w:rsidR="002E5F1B" w:rsidRPr="002E5F1B">
        <w:rPr>
          <w:sz w:val="28"/>
          <w:szCs w:val="28"/>
        </w:rPr>
        <w:lastRenderedPageBreak/>
        <w:t>для переходу дошкільної освіти на якісно новий рівень автономії, рефлексії та демократичності. Реалізація моделі потребує відповідних змін у нормативно-правовому полі, системі підготовки кадрів та механізм</w:t>
      </w:r>
      <w:r>
        <w:rPr>
          <w:sz w:val="28"/>
          <w:szCs w:val="28"/>
        </w:rPr>
        <w:t>ах моніторингу якості</w:t>
      </w:r>
      <w:r w:rsidR="002E5F1B" w:rsidRPr="002E5F1B">
        <w:rPr>
          <w:sz w:val="28"/>
          <w:szCs w:val="28"/>
        </w:rPr>
        <w:t>.</w:t>
      </w:r>
    </w:p>
    <w:p w:rsidR="00C55DCB" w:rsidRDefault="00C55DCB" w:rsidP="009E09F1">
      <w:pPr>
        <w:pStyle w:val="a4"/>
        <w:spacing w:before="0" w:beforeAutospacing="0" w:after="0" w:afterAutospacing="0" w:line="360" w:lineRule="auto"/>
        <w:ind w:firstLine="709"/>
        <w:jc w:val="both"/>
        <w:rPr>
          <w:sz w:val="28"/>
          <w:szCs w:val="28"/>
        </w:rPr>
      </w:pPr>
    </w:p>
    <w:p w:rsidR="00C55DCB" w:rsidRPr="00A57291" w:rsidRDefault="00C55DCB" w:rsidP="00A57291">
      <w:pPr>
        <w:pStyle w:val="a4"/>
        <w:spacing w:after="0" w:line="360" w:lineRule="auto"/>
        <w:ind w:firstLine="709"/>
        <w:jc w:val="center"/>
        <w:rPr>
          <w:b/>
          <w:sz w:val="28"/>
          <w:szCs w:val="28"/>
        </w:rPr>
      </w:pPr>
      <w:r w:rsidRPr="00A57291">
        <w:rPr>
          <w:b/>
          <w:sz w:val="28"/>
          <w:szCs w:val="28"/>
        </w:rPr>
        <w:t>ЛІТЕРАТУРА</w:t>
      </w:r>
    </w:p>
    <w:p w:rsidR="00A57291" w:rsidRPr="00A57291" w:rsidRDefault="00A57291" w:rsidP="00F56B48">
      <w:pPr>
        <w:pStyle w:val="a4"/>
        <w:numPr>
          <w:ilvl w:val="0"/>
          <w:numId w:val="4"/>
        </w:numPr>
        <w:spacing w:after="0" w:line="360" w:lineRule="auto"/>
        <w:ind w:left="0" w:firstLine="709"/>
        <w:jc w:val="both"/>
        <w:rPr>
          <w:sz w:val="28"/>
          <w:szCs w:val="28"/>
        </w:rPr>
      </w:pPr>
      <w:r w:rsidRPr="00A57291">
        <w:rPr>
          <w:sz w:val="28"/>
          <w:szCs w:val="28"/>
        </w:rPr>
        <w:t xml:space="preserve">Bateson G. Steps to an Ecology of Mind. New York : Ballantine Books, 1972. URL: </w:t>
      </w:r>
      <w:hyperlink r:id="rId7" w:history="1">
        <w:r w:rsidR="000C27F6" w:rsidRPr="004D742D">
          <w:rPr>
            <w:rStyle w:val="a3"/>
            <w:sz w:val="28"/>
            <w:szCs w:val="28"/>
          </w:rPr>
          <w:t>https://archive.org/details/stepstoecologyof00bate</w:t>
        </w:r>
      </w:hyperlink>
      <w:r w:rsidR="000C27F6">
        <w:rPr>
          <w:sz w:val="28"/>
          <w:szCs w:val="28"/>
        </w:rPr>
        <w:t xml:space="preserve"> </w:t>
      </w:r>
    </w:p>
    <w:p w:rsidR="00A57291" w:rsidRPr="00A57291" w:rsidRDefault="00A57291" w:rsidP="00F56B48">
      <w:pPr>
        <w:pStyle w:val="a4"/>
        <w:numPr>
          <w:ilvl w:val="0"/>
          <w:numId w:val="4"/>
        </w:numPr>
        <w:spacing w:after="0" w:line="360" w:lineRule="auto"/>
        <w:ind w:left="0" w:firstLine="709"/>
        <w:jc w:val="both"/>
        <w:rPr>
          <w:sz w:val="28"/>
          <w:szCs w:val="28"/>
        </w:rPr>
      </w:pPr>
      <w:r w:rsidRPr="00A57291">
        <w:rPr>
          <w:sz w:val="28"/>
          <w:szCs w:val="28"/>
        </w:rPr>
        <w:t xml:space="preserve">Dahlberg G., Moss P. Ethics and Politics in Early Childhood Education. London : Routledge, 2005. URL: </w:t>
      </w:r>
      <w:hyperlink r:id="rId8" w:history="1">
        <w:r w:rsidR="000C27F6" w:rsidRPr="004D742D">
          <w:rPr>
            <w:rStyle w:val="a3"/>
            <w:sz w:val="28"/>
            <w:szCs w:val="28"/>
          </w:rPr>
          <w:t>https://archive.org/details/ethicspoliticsin0000dahl</w:t>
        </w:r>
      </w:hyperlink>
      <w:r w:rsidR="000C27F6">
        <w:rPr>
          <w:sz w:val="28"/>
          <w:szCs w:val="28"/>
        </w:rPr>
        <w:t xml:space="preserve"> </w:t>
      </w:r>
    </w:p>
    <w:p w:rsidR="00A57291" w:rsidRPr="00A57291" w:rsidRDefault="00A57291" w:rsidP="00F56B48">
      <w:pPr>
        <w:pStyle w:val="a4"/>
        <w:numPr>
          <w:ilvl w:val="0"/>
          <w:numId w:val="4"/>
        </w:numPr>
        <w:spacing w:after="0" w:line="360" w:lineRule="auto"/>
        <w:ind w:left="0" w:firstLine="709"/>
        <w:jc w:val="both"/>
        <w:rPr>
          <w:sz w:val="28"/>
          <w:szCs w:val="28"/>
        </w:rPr>
      </w:pPr>
      <w:r w:rsidRPr="00A57291">
        <w:rPr>
          <w:sz w:val="28"/>
          <w:szCs w:val="28"/>
        </w:rPr>
        <w:t xml:space="preserve">Dewey J. Democracy and Education. New York : Macmillan, 1916/2004. URL: </w:t>
      </w:r>
      <w:hyperlink r:id="rId9" w:history="1">
        <w:r w:rsidR="000C27F6" w:rsidRPr="004D742D">
          <w:rPr>
            <w:rStyle w:val="a3"/>
            <w:sz w:val="28"/>
            <w:szCs w:val="28"/>
          </w:rPr>
          <w:t>https://www.gutenberg.org/ebooks/852</w:t>
        </w:r>
      </w:hyperlink>
      <w:r w:rsidR="000C27F6">
        <w:rPr>
          <w:sz w:val="28"/>
          <w:szCs w:val="28"/>
        </w:rPr>
        <w:t xml:space="preserve"> </w:t>
      </w:r>
      <w:r w:rsidRPr="00A57291">
        <w:rPr>
          <w:sz w:val="28"/>
          <w:szCs w:val="28"/>
        </w:rPr>
        <w:t xml:space="preserve"> </w:t>
      </w:r>
    </w:p>
    <w:p w:rsidR="000C27F6" w:rsidRDefault="00A57291" w:rsidP="00F56B48">
      <w:pPr>
        <w:pStyle w:val="a4"/>
        <w:numPr>
          <w:ilvl w:val="0"/>
          <w:numId w:val="4"/>
        </w:numPr>
        <w:spacing w:after="0" w:line="360" w:lineRule="auto"/>
        <w:ind w:left="0" w:firstLine="709"/>
        <w:jc w:val="both"/>
        <w:rPr>
          <w:sz w:val="28"/>
          <w:szCs w:val="28"/>
        </w:rPr>
      </w:pPr>
      <w:r w:rsidRPr="000C27F6">
        <w:rPr>
          <w:sz w:val="28"/>
          <w:szCs w:val="28"/>
        </w:rPr>
        <w:t xml:space="preserve">Dewey J. Experience and Education. New York : Kappa Delta Pi, 1938/1997. URL: </w:t>
      </w:r>
      <w:hyperlink r:id="rId10" w:history="1">
        <w:r w:rsidR="000C27F6" w:rsidRPr="000C27F6">
          <w:rPr>
            <w:rStyle w:val="a3"/>
            <w:sz w:val="28"/>
            <w:szCs w:val="28"/>
          </w:rPr>
          <w:t>https://archive.org/details/experienceeducat00dewe_0</w:t>
        </w:r>
      </w:hyperlink>
      <w:r w:rsidR="000C27F6" w:rsidRPr="000C27F6">
        <w:rPr>
          <w:sz w:val="28"/>
          <w:szCs w:val="28"/>
        </w:rPr>
        <w:t xml:space="preserve"> </w:t>
      </w:r>
    </w:p>
    <w:p w:rsidR="00A57291" w:rsidRPr="000C27F6" w:rsidRDefault="00A57291" w:rsidP="00F56B48">
      <w:pPr>
        <w:pStyle w:val="a4"/>
        <w:numPr>
          <w:ilvl w:val="0"/>
          <w:numId w:val="4"/>
        </w:numPr>
        <w:spacing w:after="0" w:line="360" w:lineRule="auto"/>
        <w:ind w:left="0" w:firstLine="709"/>
        <w:jc w:val="both"/>
        <w:rPr>
          <w:sz w:val="28"/>
          <w:szCs w:val="28"/>
        </w:rPr>
      </w:pPr>
      <w:r w:rsidRPr="000C27F6">
        <w:rPr>
          <w:sz w:val="28"/>
          <w:szCs w:val="28"/>
        </w:rPr>
        <w:t xml:space="preserve">von Foerster H. Understanding Understanding : Essays on Cybernetics and Cognition. New York : Springer, 2003. URL: </w:t>
      </w:r>
      <w:hyperlink r:id="rId11" w:history="1">
        <w:r w:rsidR="000C27F6" w:rsidRPr="004D742D">
          <w:rPr>
            <w:rStyle w:val="a3"/>
            <w:sz w:val="28"/>
            <w:szCs w:val="28"/>
          </w:rPr>
          <w:t>https://link.springer.com/book/10.1007/b97451</w:t>
        </w:r>
      </w:hyperlink>
      <w:r w:rsidR="000C27F6">
        <w:rPr>
          <w:sz w:val="28"/>
          <w:szCs w:val="28"/>
        </w:rPr>
        <w:t xml:space="preserve"> </w:t>
      </w:r>
    </w:p>
    <w:p w:rsidR="000C27F6" w:rsidRDefault="00A57291" w:rsidP="00F56B48">
      <w:pPr>
        <w:pStyle w:val="a4"/>
        <w:numPr>
          <w:ilvl w:val="0"/>
          <w:numId w:val="4"/>
        </w:numPr>
        <w:spacing w:after="0" w:line="360" w:lineRule="auto"/>
        <w:ind w:left="0" w:firstLine="709"/>
        <w:jc w:val="both"/>
        <w:rPr>
          <w:sz w:val="28"/>
          <w:szCs w:val="28"/>
        </w:rPr>
      </w:pPr>
      <w:r w:rsidRPr="000C27F6">
        <w:rPr>
          <w:sz w:val="28"/>
          <w:szCs w:val="28"/>
        </w:rPr>
        <w:t xml:space="preserve">von Glasersfeld E. Radical Constructivism : A Way of Knowing and Learning. London : Falmer Press, 1995. URL: </w:t>
      </w:r>
      <w:hyperlink r:id="rId12" w:history="1">
        <w:r w:rsidR="000C27F6" w:rsidRPr="004D742D">
          <w:rPr>
            <w:rStyle w:val="a3"/>
            <w:sz w:val="28"/>
            <w:szCs w:val="28"/>
          </w:rPr>
          <w:t>https://archive.org/details/radicalconstruct0000glas</w:t>
        </w:r>
      </w:hyperlink>
      <w:r w:rsidR="000C27F6">
        <w:rPr>
          <w:sz w:val="28"/>
          <w:szCs w:val="28"/>
        </w:rPr>
        <w:t xml:space="preserve"> </w:t>
      </w:r>
    </w:p>
    <w:p w:rsidR="000C27F6" w:rsidRDefault="00A57291" w:rsidP="00F56B48">
      <w:pPr>
        <w:pStyle w:val="a4"/>
        <w:numPr>
          <w:ilvl w:val="0"/>
          <w:numId w:val="4"/>
        </w:numPr>
        <w:spacing w:after="0" w:line="360" w:lineRule="auto"/>
        <w:ind w:left="0" w:firstLine="709"/>
        <w:jc w:val="both"/>
        <w:rPr>
          <w:sz w:val="28"/>
          <w:szCs w:val="28"/>
        </w:rPr>
      </w:pPr>
      <w:r w:rsidRPr="000C27F6">
        <w:rPr>
          <w:sz w:val="28"/>
          <w:szCs w:val="28"/>
        </w:rPr>
        <w:t xml:space="preserve">Maturana H., Varela F. Autopoiesis and Cognition : The Realization of the Living. Boston : Reidel, 1980. URL: </w:t>
      </w:r>
      <w:hyperlink r:id="rId13" w:history="1">
        <w:r w:rsidR="000C27F6" w:rsidRPr="004D742D">
          <w:rPr>
            <w:rStyle w:val="a3"/>
            <w:sz w:val="28"/>
            <w:szCs w:val="28"/>
          </w:rPr>
          <w:t>https://monoskop.org/File:Maturana_Humberto_R_Varela_Francisco_J_Autopoiesis_and_Cognition_The_Realization_of_the_Living.pdf</w:t>
        </w:r>
      </w:hyperlink>
      <w:r w:rsidR="000C27F6">
        <w:rPr>
          <w:sz w:val="28"/>
          <w:szCs w:val="28"/>
        </w:rPr>
        <w:t xml:space="preserve"> </w:t>
      </w:r>
    </w:p>
    <w:p w:rsidR="00A57291" w:rsidRPr="000C27F6" w:rsidRDefault="00A57291" w:rsidP="00F56B48">
      <w:pPr>
        <w:pStyle w:val="a4"/>
        <w:numPr>
          <w:ilvl w:val="0"/>
          <w:numId w:val="4"/>
        </w:numPr>
        <w:spacing w:after="0" w:line="360" w:lineRule="auto"/>
        <w:ind w:left="0" w:firstLine="709"/>
        <w:jc w:val="both"/>
        <w:rPr>
          <w:sz w:val="28"/>
          <w:szCs w:val="28"/>
        </w:rPr>
      </w:pPr>
      <w:r w:rsidRPr="000C27F6">
        <w:rPr>
          <w:sz w:val="28"/>
          <w:szCs w:val="28"/>
        </w:rPr>
        <w:t xml:space="preserve">Rinaldi C. In Dialogue with Reggio Emilia : Listening, Researching and Learning. London : Routledge, 2006. URL: </w:t>
      </w:r>
      <w:hyperlink r:id="rId14" w:history="1">
        <w:r w:rsidR="000C27F6" w:rsidRPr="004D742D">
          <w:rPr>
            <w:rStyle w:val="a3"/>
            <w:sz w:val="28"/>
            <w:szCs w:val="28"/>
          </w:rPr>
          <w:t>https://www.routledge.com/In-Dialogue-with-Reggio-Emilia-Listening-Researching-and-Learning/Rinaldi/p/book/9780367427047</w:t>
        </w:r>
      </w:hyperlink>
      <w:r w:rsidR="000C27F6">
        <w:rPr>
          <w:sz w:val="28"/>
          <w:szCs w:val="28"/>
        </w:rPr>
        <w:t xml:space="preserve"> </w:t>
      </w:r>
    </w:p>
    <w:p w:rsidR="00A57291" w:rsidRPr="00A57291" w:rsidRDefault="00A57291" w:rsidP="00F56B48">
      <w:pPr>
        <w:pStyle w:val="a4"/>
        <w:numPr>
          <w:ilvl w:val="0"/>
          <w:numId w:val="4"/>
        </w:numPr>
        <w:spacing w:after="0" w:line="360" w:lineRule="auto"/>
        <w:ind w:left="0" w:firstLine="709"/>
        <w:jc w:val="both"/>
        <w:rPr>
          <w:sz w:val="28"/>
          <w:szCs w:val="28"/>
        </w:rPr>
      </w:pPr>
      <w:r w:rsidRPr="00A57291">
        <w:rPr>
          <w:sz w:val="28"/>
          <w:szCs w:val="28"/>
        </w:rPr>
        <w:lastRenderedPageBreak/>
        <w:t xml:space="preserve">Spillane J. Distributed Leadership. San Francisco : Jossey-Bass, 2006. URL: </w:t>
      </w:r>
      <w:hyperlink r:id="rId15" w:history="1">
        <w:r w:rsidR="000C27F6" w:rsidRPr="004D742D">
          <w:rPr>
            <w:rStyle w:val="a3"/>
            <w:sz w:val="28"/>
            <w:szCs w:val="28"/>
          </w:rPr>
          <w:t>https://www.researchgate.net/publication/233061505_Distributed_Leadership</w:t>
        </w:r>
      </w:hyperlink>
      <w:r w:rsidR="000C27F6">
        <w:rPr>
          <w:sz w:val="28"/>
          <w:szCs w:val="28"/>
        </w:rPr>
        <w:t xml:space="preserve"> </w:t>
      </w:r>
    </w:p>
    <w:p w:rsidR="00A57291" w:rsidRPr="00A57291" w:rsidRDefault="00A57291" w:rsidP="00F56B48">
      <w:pPr>
        <w:pStyle w:val="a4"/>
        <w:numPr>
          <w:ilvl w:val="0"/>
          <w:numId w:val="4"/>
        </w:numPr>
        <w:spacing w:after="0" w:line="360" w:lineRule="auto"/>
        <w:ind w:left="0" w:firstLine="709"/>
        <w:jc w:val="both"/>
        <w:rPr>
          <w:sz w:val="28"/>
          <w:szCs w:val="28"/>
        </w:rPr>
      </w:pPr>
      <w:r w:rsidRPr="00A57291">
        <w:rPr>
          <w:sz w:val="28"/>
          <w:szCs w:val="28"/>
        </w:rPr>
        <w:t xml:space="preserve">Edwards C., Gandini L., Forman G. The Hundred Languages of Children : </w:t>
      </w:r>
      <w:r w:rsidRPr="000C27F6">
        <w:rPr>
          <w:i/>
          <w:sz w:val="28"/>
          <w:szCs w:val="28"/>
        </w:rPr>
        <w:t>The Reggio Emilia Experience in Transformation.</w:t>
      </w:r>
      <w:r w:rsidRPr="00A57291">
        <w:rPr>
          <w:sz w:val="28"/>
          <w:szCs w:val="28"/>
        </w:rPr>
        <w:t xml:space="preserve"> 3rd ed. Santa Barbara : Praeger, 2012. URL: </w:t>
      </w:r>
      <w:hyperlink r:id="rId16" w:history="1">
        <w:r w:rsidR="000C27F6" w:rsidRPr="004D742D">
          <w:rPr>
            <w:rStyle w:val="a3"/>
            <w:sz w:val="28"/>
            <w:szCs w:val="28"/>
          </w:rPr>
          <w:t>https://eric.ed.gov/?id=ED531297</w:t>
        </w:r>
      </w:hyperlink>
      <w:r w:rsidR="000C27F6">
        <w:rPr>
          <w:sz w:val="28"/>
          <w:szCs w:val="28"/>
        </w:rPr>
        <w:t xml:space="preserve"> </w:t>
      </w:r>
    </w:p>
    <w:p w:rsidR="00A57291" w:rsidRPr="00A57291" w:rsidRDefault="00A57291" w:rsidP="00F56B48">
      <w:pPr>
        <w:pStyle w:val="a4"/>
        <w:numPr>
          <w:ilvl w:val="0"/>
          <w:numId w:val="4"/>
        </w:numPr>
        <w:spacing w:after="0" w:line="360" w:lineRule="auto"/>
        <w:ind w:left="0" w:firstLine="709"/>
        <w:jc w:val="both"/>
        <w:rPr>
          <w:sz w:val="28"/>
          <w:szCs w:val="28"/>
        </w:rPr>
      </w:pPr>
      <w:r w:rsidRPr="00A57291">
        <w:rPr>
          <w:sz w:val="28"/>
          <w:szCs w:val="28"/>
        </w:rPr>
        <w:t xml:space="preserve">Lillard A. Montessori : The Science Behind the Genius. Updated ed. Oxford : Oxford University Press, 2017. URL: </w:t>
      </w:r>
      <w:hyperlink r:id="rId17" w:history="1">
        <w:r w:rsidR="000C27F6" w:rsidRPr="004D742D">
          <w:rPr>
            <w:rStyle w:val="a3"/>
            <w:sz w:val="28"/>
            <w:szCs w:val="28"/>
          </w:rPr>
          <w:t>https://archive.org/details/montessoriscienc00lill</w:t>
        </w:r>
      </w:hyperlink>
      <w:r w:rsidR="000C27F6">
        <w:rPr>
          <w:sz w:val="28"/>
          <w:szCs w:val="28"/>
        </w:rPr>
        <w:t xml:space="preserve"> </w:t>
      </w:r>
    </w:p>
    <w:p w:rsidR="00A57291" w:rsidRPr="00A57291" w:rsidRDefault="00A57291" w:rsidP="00F56B48">
      <w:pPr>
        <w:pStyle w:val="a4"/>
        <w:numPr>
          <w:ilvl w:val="0"/>
          <w:numId w:val="4"/>
        </w:numPr>
        <w:spacing w:after="0" w:line="360" w:lineRule="auto"/>
        <w:ind w:left="0" w:firstLine="709"/>
        <w:jc w:val="both"/>
        <w:rPr>
          <w:sz w:val="28"/>
          <w:szCs w:val="28"/>
        </w:rPr>
      </w:pPr>
      <w:r w:rsidRPr="00A57291">
        <w:rPr>
          <w:sz w:val="28"/>
          <w:szCs w:val="28"/>
        </w:rPr>
        <w:t xml:space="preserve">Malaguzzi L. The Hundred Languages of Children. Reggio Emilia : Reggio Children, 1996. URL: </w:t>
      </w:r>
      <w:hyperlink r:id="rId18" w:history="1">
        <w:r w:rsidR="000C27F6" w:rsidRPr="004D742D">
          <w:rPr>
            <w:rStyle w:val="a3"/>
            <w:sz w:val="28"/>
            <w:szCs w:val="28"/>
          </w:rPr>
          <w:t>https://www.reggiochildren.it/en/rc/publishing/books-and-audiovisuals/the-hundred-languages-of-children/</w:t>
        </w:r>
      </w:hyperlink>
      <w:r w:rsidR="000C27F6">
        <w:rPr>
          <w:sz w:val="28"/>
          <w:szCs w:val="28"/>
        </w:rPr>
        <w:t xml:space="preserve"> </w:t>
      </w:r>
    </w:p>
    <w:p w:rsidR="00A57291" w:rsidRPr="00A57291" w:rsidRDefault="00A57291" w:rsidP="00F56B48">
      <w:pPr>
        <w:pStyle w:val="a4"/>
        <w:numPr>
          <w:ilvl w:val="0"/>
          <w:numId w:val="4"/>
        </w:numPr>
        <w:spacing w:after="0" w:line="360" w:lineRule="auto"/>
        <w:ind w:left="0" w:firstLine="709"/>
        <w:jc w:val="both"/>
        <w:rPr>
          <w:sz w:val="28"/>
          <w:szCs w:val="28"/>
        </w:rPr>
      </w:pPr>
      <w:r w:rsidRPr="00A57291">
        <w:rPr>
          <w:sz w:val="28"/>
          <w:szCs w:val="28"/>
        </w:rPr>
        <w:t xml:space="preserve">Forman G., Fyfe B. Negotiated Learning : Progressive Inquiry with Young Children. In : Edwards C., Gandini L., Forman G. (eds.). </w:t>
      </w:r>
      <w:r w:rsidRPr="00861703">
        <w:rPr>
          <w:i/>
          <w:sz w:val="28"/>
          <w:szCs w:val="28"/>
        </w:rPr>
        <w:t>The Hundred Languages of Children.</w:t>
      </w:r>
      <w:r w:rsidRPr="00A57291">
        <w:rPr>
          <w:sz w:val="28"/>
          <w:szCs w:val="28"/>
        </w:rPr>
        <w:t xml:space="preserve"> 3rd ed. Santa Barbara : Praeger, 2012. P. 123–145. URL: </w:t>
      </w:r>
      <w:hyperlink r:id="rId19" w:history="1">
        <w:r w:rsidR="000C27F6" w:rsidRPr="004D742D">
          <w:rPr>
            <w:rStyle w:val="a3"/>
            <w:sz w:val="28"/>
            <w:szCs w:val="28"/>
          </w:rPr>
          <w:t>https://www.researchgate.net/publication/377690016_Negotiated_Learning_Through_Design_Documentation_And_Discourse</w:t>
        </w:r>
      </w:hyperlink>
      <w:r w:rsidR="000C27F6">
        <w:rPr>
          <w:sz w:val="28"/>
          <w:szCs w:val="28"/>
        </w:rPr>
        <w:t xml:space="preserve"> </w:t>
      </w:r>
    </w:p>
    <w:p w:rsidR="00A57291" w:rsidRPr="00A57291" w:rsidRDefault="00A57291" w:rsidP="00F56B48">
      <w:pPr>
        <w:pStyle w:val="a4"/>
        <w:numPr>
          <w:ilvl w:val="0"/>
          <w:numId w:val="4"/>
        </w:numPr>
        <w:spacing w:after="0" w:line="360" w:lineRule="auto"/>
        <w:ind w:left="0" w:firstLine="709"/>
        <w:jc w:val="both"/>
        <w:rPr>
          <w:sz w:val="28"/>
          <w:szCs w:val="28"/>
        </w:rPr>
      </w:pPr>
      <w:r w:rsidRPr="00A57291">
        <w:rPr>
          <w:sz w:val="28"/>
          <w:szCs w:val="28"/>
        </w:rPr>
        <w:t xml:space="preserve">Rodd J. Leadership in Early Childhood. 4th ed. Maidenhead : Open University Press, 2013. URL: </w:t>
      </w:r>
      <w:hyperlink r:id="rId20" w:history="1">
        <w:r w:rsidR="000C27F6" w:rsidRPr="004D742D">
          <w:rPr>
            <w:rStyle w:val="a3"/>
            <w:sz w:val="28"/>
            <w:szCs w:val="28"/>
          </w:rPr>
          <w:t>https://www.taylorfrancis.com/books/mono/10.4324/9781003116295/leadership-early-childhood-jillian-rodd</w:t>
        </w:r>
      </w:hyperlink>
      <w:r w:rsidR="000C27F6">
        <w:rPr>
          <w:sz w:val="28"/>
          <w:szCs w:val="28"/>
        </w:rPr>
        <w:t xml:space="preserve"> </w:t>
      </w:r>
      <w:r w:rsidRPr="00A57291">
        <w:rPr>
          <w:sz w:val="28"/>
          <w:szCs w:val="28"/>
        </w:rPr>
        <w:t xml:space="preserve"> </w:t>
      </w:r>
    </w:p>
    <w:p w:rsidR="00A57291" w:rsidRPr="00A57291" w:rsidRDefault="00A57291" w:rsidP="00F56B48">
      <w:pPr>
        <w:pStyle w:val="a4"/>
        <w:numPr>
          <w:ilvl w:val="0"/>
          <w:numId w:val="4"/>
        </w:numPr>
        <w:spacing w:after="0" w:line="360" w:lineRule="auto"/>
        <w:ind w:left="0" w:firstLine="709"/>
        <w:jc w:val="both"/>
        <w:rPr>
          <w:sz w:val="28"/>
          <w:szCs w:val="28"/>
        </w:rPr>
      </w:pPr>
      <w:r w:rsidRPr="00A57291">
        <w:rPr>
          <w:sz w:val="28"/>
          <w:szCs w:val="28"/>
        </w:rPr>
        <w:t xml:space="preserve">Nuttall J. (ed.). Weaving Te Whāriki : Aotearoa New Zealand’s Early Childhood Curriculum Document in Theory and Practice. 2nd ed. Wellington : NZCER Press, 2013. URL: </w:t>
      </w:r>
      <w:hyperlink r:id="rId21" w:history="1">
        <w:r w:rsidR="000C27F6" w:rsidRPr="004D742D">
          <w:rPr>
            <w:rStyle w:val="a3"/>
            <w:sz w:val="28"/>
            <w:szCs w:val="28"/>
          </w:rPr>
          <w:t>https://www.nzcer.org.nz/nzcerpress/weaving-te-whariki-aotearoa-new-zealand-s-early-childhood-curriculum-document-theory-an-0</w:t>
        </w:r>
      </w:hyperlink>
      <w:r w:rsidR="000C27F6">
        <w:rPr>
          <w:sz w:val="28"/>
          <w:szCs w:val="28"/>
        </w:rPr>
        <w:t xml:space="preserve"> </w:t>
      </w:r>
    </w:p>
    <w:p w:rsidR="00A57291" w:rsidRPr="00A57291" w:rsidRDefault="00A57291" w:rsidP="00F56B48">
      <w:pPr>
        <w:pStyle w:val="a4"/>
        <w:numPr>
          <w:ilvl w:val="0"/>
          <w:numId w:val="4"/>
        </w:numPr>
        <w:spacing w:after="0" w:line="360" w:lineRule="auto"/>
        <w:ind w:left="0" w:firstLine="709"/>
        <w:jc w:val="both"/>
        <w:rPr>
          <w:sz w:val="28"/>
          <w:szCs w:val="28"/>
        </w:rPr>
      </w:pPr>
      <w:r w:rsidRPr="00A57291">
        <w:rPr>
          <w:sz w:val="28"/>
          <w:szCs w:val="28"/>
        </w:rPr>
        <w:t xml:space="preserve">OECD. Education at a Glance 2020 : OECD Indicators. Paris : OECD Publishing, 2020. URL: </w:t>
      </w:r>
      <w:hyperlink r:id="rId22" w:history="1">
        <w:r w:rsidR="000C27F6" w:rsidRPr="004D742D">
          <w:rPr>
            <w:rStyle w:val="a3"/>
            <w:sz w:val="28"/>
            <w:szCs w:val="28"/>
          </w:rPr>
          <w:t>https://www.oecd.org/content/dam/oecd/en/publications/reports/2020/09/education-at-a-glance-2020_19b01e87/69096873-en.pdf</w:t>
        </w:r>
      </w:hyperlink>
      <w:r w:rsidR="000C27F6">
        <w:rPr>
          <w:sz w:val="28"/>
          <w:szCs w:val="28"/>
        </w:rPr>
        <w:t xml:space="preserve"> </w:t>
      </w:r>
      <w:r w:rsidRPr="00A57291">
        <w:rPr>
          <w:sz w:val="28"/>
          <w:szCs w:val="28"/>
        </w:rPr>
        <w:t xml:space="preserve">  </w:t>
      </w:r>
    </w:p>
    <w:p w:rsidR="00A57291" w:rsidRPr="00A57291" w:rsidRDefault="00A57291" w:rsidP="00F56B48">
      <w:pPr>
        <w:pStyle w:val="a4"/>
        <w:numPr>
          <w:ilvl w:val="0"/>
          <w:numId w:val="4"/>
        </w:numPr>
        <w:spacing w:after="0" w:line="360" w:lineRule="auto"/>
        <w:ind w:left="0" w:firstLine="709"/>
        <w:jc w:val="both"/>
        <w:rPr>
          <w:sz w:val="28"/>
          <w:szCs w:val="28"/>
        </w:rPr>
      </w:pPr>
      <w:r w:rsidRPr="00A57291">
        <w:rPr>
          <w:sz w:val="28"/>
          <w:szCs w:val="28"/>
        </w:rPr>
        <w:t xml:space="preserve">UNICEF Ukraine. Early Childhood Education in Ukraine : Recovery and Resilience Framework. Kyiv : UNICEF, 2025. URL: </w:t>
      </w:r>
      <w:hyperlink r:id="rId23" w:history="1">
        <w:r w:rsidR="000C27F6" w:rsidRPr="004D742D">
          <w:rPr>
            <w:rStyle w:val="a3"/>
            <w:sz w:val="28"/>
            <w:szCs w:val="28"/>
          </w:rPr>
          <w:t>https://www.unicef.org/ukraine/media/53936/file/2025_Better%20Learning%20and%20Skills%20brief.pdf.pdf</w:t>
        </w:r>
      </w:hyperlink>
      <w:r w:rsidR="000C27F6">
        <w:rPr>
          <w:sz w:val="28"/>
          <w:szCs w:val="28"/>
        </w:rPr>
        <w:t xml:space="preserve"> </w:t>
      </w:r>
    </w:p>
    <w:p w:rsidR="00A57291" w:rsidRPr="000C27F6" w:rsidRDefault="00A57291" w:rsidP="00750442">
      <w:pPr>
        <w:pStyle w:val="a4"/>
        <w:numPr>
          <w:ilvl w:val="0"/>
          <w:numId w:val="4"/>
        </w:numPr>
        <w:spacing w:after="0" w:line="360" w:lineRule="auto"/>
        <w:ind w:left="0" w:firstLine="709"/>
        <w:jc w:val="both"/>
        <w:rPr>
          <w:sz w:val="28"/>
          <w:szCs w:val="28"/>
        </w:rPr>
      </w:pPr>
      <w:r w:rsidRPr="000C27F6">
        <w:rPr>
          <w:sz w:val="28"/>
          <w:szCs w:val="28"/>
        </w:rPr>
        <w:t xml:space="preserve">Базовий компонент дошкільної освіти (Державний стандарт дошкільної освіти) : нова редакція. Наказ МОН України № 33 від 12.01.2021. URL: </w:t>
      </w:r>
      <w:hyperlink r:id="rId24" w:history="1">
        <w:r w:rsidR="000C27F6" w:rsidRPr="004D742D">
          <w:rPr>
            <w:rStyle w:val="a3"/>
            <w:sz w:val="28"/>
            <w:szCs w:val="28"/>
          </w:rPr>
          <w:t>https://mon.gov.ua/storage/app/media/rizne/2021/12.01/Pro_novu_redaktsiyu%20Bazovoho%20komponenta%20doshkilnoyi%20osvity.pdf</w:t>
        </w:r>
      </w:hyperlink>
      <w:r w:rsidR="000C27F6">
        <w:rPr>
          <w:sz w:val="28"/>
          <w:szCs w:val="28"/>
        </w:rPr>
        <w:t xml:space="preserve"> </w:t>
      </w:r>
    </w:p>
    <w:p w:rsidR="00A57291" w:rsidRPr="00750442" w:rsidRDefault="00A57291" w:rsidP="00750442">
      <w:pPr>
        <w:pStyle w:val="a4"/>
        <w:numPr>
          <w:ilvl w:val="0"/>
          <w:numId w:val="4"/>
        </w:numPr>
        <w:spacing w:after="0" w:line="360" w:lineRule="auto"/>
        <w:ind w:left="0" w:firstLine="709"/>
        <w:jc w:val="both"/>
        <w:rPr>
          <w:sz w:val="28"/>
          <w:szCs w:val="28"/>
        </w:rPr>
      </w:pPr>
      <w:r w:rsidRPr="000C27F6">
        <w:rPr>
          <w:sz w:val="28"/>
          <w:szCs w:val="28"/>
        </w:rPr>
        <w:t>Добош О., Пинзеник О. Управлінська ефективність і методична майстерність : нові орієнтири для удосконалення освітнього процесу ЗДО.</w:t>
      </w:r>
      <w:r w:rsidRPr="000C27F6">
        <w:rPr>
          <w:i/>
          <w:sz w:val="28"/>
          <w:szCs w:val="28"/>
        </w:rPr>
        <w:t xml:space="preserve"> Науковий вісник Ужгородського університету. Серія : Педагогіка. Соціальна робота.</w:t>
      </w:r>
      <w:r w:rsidRPr="000C27F6">
        <w:rPr>
          <w:sz w:val="28"/>
          <w:szCs w:val="28"/>
        </w:rPr>
        <w:t xml:space="preserve"> 2025. Вип. (2) 57. С. 67-72. </w:t>
      </w:r>
      <w:hyperlink r:id="rId25" w:history="1">
        <w:r w:rsidR="000C27F6" w:rsidRPr="004D742D">
          <w:rPr>
            <w:rStyle w:val="a3"/>
            <w:sz w:val="28"/>
            <w:szCs w:val="28"/>
          </w:rPr>
          <w:t>https://doi.org/10.24144/2524-0609.2025.57.67-72</w:t>
        </w:r>
      </w:hyperlink>
      <w:r w:rsidR="000C27F6">
        <w:rPr>
          <w:sz w:val="28"/>
          <w:szCs w:val="28"/>
        </w:rPr>
        <w:t xml:space="preserve"> </w:t>
      </w:r>
    </w:p>
    <w:p w:rsidR="00861703" w:rsidRPr="00861703" w:rsidRDefault="00861703" w:rsidP="00861703">
      <w:pPr>
        <w:pStyle w:val="a4"/>
        <w:numPr>
          <w:ilvl w:val="0"/>
          <w:numId w:val="4"/>
        </w:numPr>
        <w:spacing w:after="0" w:line="360" w:lineRule="auto"/>
        <w:ind w:left="0" w:firstLine="709"/>
        <w:jc w:val="both"/>
        <w:rPr>
          <w:sz w:val="28"/>
          <w:szCs w:val="28"/>
        </w:rPr>
      </w:pPr>
      <w:r w:rsidRPr="000C27F6">
        <w:rPr>
          <w:i/>
          <w:sz w:val="28"/>
          <w:szCs w:val="28"/>
        </w:rPr>
        <w:t>Магістерська робота. Організація науково-методичної діяльності в ЗДО.</w:t>
      </w:r>
      <w:r w:rsidRPr="000C27F6">
        <w:rPr>
          <w:sz w:val="28"/>
          <w:szCs w:val="28"/>
        </w:rPr>
        <w:t xml:space="preserve"> 2023–2024. URL: </w:t>
      </w:r>
      <w:hyperlink r:id="rId26" w:history="1">
        <w:r w:rsidRPr="000C27F6">
          <w:rPr>
            <w:rStyle w:val="a3"/>
            <w:sz w:val="28"/>
            <w:szCs w:val="28"/>
          </w:rPr>
          <w:t>https://naurok.com.ua/magisterska-robota-na-temu-organizaciya-naukovo-metodichno-diyalnosti-v-zakladidoshkilno-osviti-171245.html</w:t>
        </w:r>
      </w:hyperlink>
    </w:p>
    <w:p w:rsidR="00861703" w:rsidRPr="00861703" w:rsidRDefault="00A57291" w:rsidP="00861703">
      <w:pPr>
        <w:pStyle w:val="a4"/>
        <w:numPr>
          <w:ilvl w:val="0"/>
          <w:numId w:val="4"/>
        </w:numPr>
        <w:spacing w:after="0" w:line="360" w:lineRule="auto"/>
        <w:ind w:left="0" w:firstLine="709"/>
        <w:jc w:val="both"/>
        <w:rPr>
          <w:sz w:val="28"/>
          <w:szCs w:val="28"/>
        </w:rPr>
      </w:pPr>
      <w:r w:rsidRPr="00A57291">
        <w:rPr>
          <w:sz w:val="28"/>
          <w:szCs w:val="28"/>
        </w:rPr>
        <w:t xml:space="preserve">Ніколенко І. А. Організаційно-методичні умови ефективної діяльності в інклюзивних групах ЗДО. </w:t>
      </w:r>
      <w:r w:rsidRPr="000C27F6">
        <w:rPr>
          <w:i/>
          <w:sz w:val="28"/>
          <w:szCs w:val="28"/>
        </w:rPr>
        <w:t>Педагогічна Академія : наукові записки.</w:t>
      </w:r>
      <w:r w:rsidRPr="00A57291">
        <w:rPr>
          <w:sz w:val="28"/>
          <w:szCs w:val="28"/>
        </w:rPr>
        <w:t xml:space="preserve"> 2025. № 16. URL: </w:t>
      </w:r>
      <w:hyperlink r:id="rId27" w:history="1">
        <w:r w:rsidR="000C27F6" w:rsidRPr="004D742D">
          <w:rPr>
            <w:rStyle w:val="a3"/>
            <w:sz w:val="28"/>
            <w:szCs w:val="28"/>
          </w:rPr>
          <w:t>https://pedagogical-academy.com/index.php/journal/article/view/816</w:t>
        </w:r>
      </w:hyperlink>
      <w:r w:rsidR="000C27F6">
        <w:rPr>
          <w:sz w:val="28"/>
          <w:szCs w:val="28"/>
        </w:rPr>
        <w:t xml:space="preserve"> </w:t>
      </w:r>
    </w:p>
    <w:p w:rsidR="00861703" w:rsidRPr="00A57291" w:rsidRDefault="00861703" w:rsidP="00861703">
      <w:pPr>
        <w:pStyle w:val="a4"/>
        <w:numPr>
          <w:ilvl w:val="0"/>
          <w:numId w:val="4"/>
        </w:numPr>
        <w:spacing w:after="0" w:line="360" w:lineRule="auto"/>
        <w:ind w:left="0" w:firstLine="709"/>
        <w:jc w:val="both"/>
        <w:rPr>
          <w:sz w:val="28"/>
          <w:szCs w:val="28"/>
        </w:rPr>
      </w:pPr>
      <w:r w:rsidRPr="00A57291">
        <w:rPr>
          <w:sz w:val="28"/>
          <w:szCs w:val="28"/>
        </w:rPr>
        <w:t xml:space="preserve">Фасолько Т. С., Олійник Г. І., Горшкова Г. В. Створення безпечного та здорового освітнього середовища в закладах дошкільної освіти. </w:t>
      </w:r>
      <w:r w:rsidRPr="000C27F6">
        <w:rPr>
          <w:i/>
          <w:sz w:val="28"/>
          <w:szCs w:val="28"/>
        </w:rPr>
        <w:t xml:space="preserve">Педагогічна Академія : наукові записки. </w:t>
      </w:r>
      <w:r w:rsidRPr="00A57291">
        <w:rPr>
          <w:sz w:val="28"/>
          <w:szCs w:val="28"/>
        </w:rPr>
        <w:t xml:space="preserve">2024. № 8. URL: </w:t>
      </w:r>
      <w:hyperlink r:id="rId28" w:history="1">
        <w:r w:rsidRPr="004D742D">
          <w:rPr>
            <w:rStyle w:val="a3"/>
            <w:sz w:val="28"/>
            <w:szCs w:val="28"/>
          </w:rPr>
          <w:t>https://pedagogical-ac</w:t>
        </w:r>
        <w:r w:rsidRPr="004D742D">
          <w:rPr>
            <w:rStyle w:val="a3"/>
            <w:sz w:val="28"/>
            <w:szCs w:val="28"/>
          </w:rPr>
          <w:t>ademy.com/index.php/journal/article/view/166</w:t>
        </w:r>
      </w:hyperlink>
      <w:r>
        <w:rPr>
          <w:sz w:val="28"/>
          <w:szCs w:val="28"/>
        </w:rPr>
        <w:t xml:space="preserve"> </w:t>
      </w:r>
      <w:r w:rsidRPr="00A57291">
        <w:rPr>
          <w:sz w:val="28"/>
          <w:szCs w:val="28"/>
        </w:rPr>
        <w:t xml:space="preserve">  </w:t>
      </w:r>
    </w:p>
    <w:p w:rsidR="00750442" w:rsidRPr="00861703" w:rsidRDefault="00750442" w:rsidP="00861703">
      <w:pPr>
        <w:pStyle w:val="a4"/>
        <w:spacing w:after="0" w:line="360" w:lineRule="auto"/>
        <w:jc w:val="both"/>
        <w:rPr>
          <w:sz w:val="28"/>
          <w:szCs w:val="28"/>
        </w:rPr>
      </w:pPr>
    </w:p>
    <w:p w:rsidR="00CF16DD" w:rsidRPr="007F27A8" w:rsidRDefault="00861703" w:rsidP="007F27A8">
      <w:pPr>
        <w:pStyle w:val="a7"/>
        <w:spacing w:after="0" w:line="360" w:lineRule="auto"/>
        <w:ind w:left="0"/>
        <w:jc w:val="center"/>
        <w:rPr>
          <w:rFonts w:ascii="Times New Roman" w:hAnsi="Times New Roman" w:cs="Times New Roman"/>
          <w:b/>
          <w:sz w:val="28"/>
          <w:szCs w:val="28"/>
          <w:shd w:val="clear" w:color="auto" w:fill="FFFFFF"/>
          <w:lang w:val="en-US"/>
        </w:rPr>
      </w:pPr>
      <w:r>
        <w:rPr>
          <w:rFonts w:ascii="Times New Roman" w:hAnsi="Times New Roman" w:cs="Times New Roman"/>
          <w:b/>
          <w:sz w:val="28"/>
          <w:szCs w:val="28"/>
          <w:shd w:val="clear" w:color="auto" w:fill="FFFFFF"/>
        </w:rPr>
        <w:lastRenderedPageBreak/>
        <w:t>REFERENCES</w:t>
      </w:r>
    </w:p>
    <w:p w:rsidR="00CF16DD" w:rsidRPr="00CF16DD" w:rsidRDefault="00CF16DD" w:rsidP="00CF16DD">
      <w:pPr>
        <w:pStyle w:val="a4"/>
        <w:numPr>
          <w:ilvl w:val="0"/>
          <w:numId w:val="7"/>
        </w:numPr>
        <w:spacing w:before="0" w:beforeAutospacing="0" w:after="0" w:afterAutospacing="0" w:line="360" w:lineRule="auto"/>
        <w:ind w:left="0" w:firstLine="709"/>
        <w:jc w:val="both"/>
        <w:rPr>
          <w:sz w:val="28"/>
          <w:szCs w:val="28"/>
        </w:rPr>
      </w:pPr>
      <w:r w:rsidRPr="00CF16DD">
        <w:rPr>
          <w:sz w:val="28"/>
          <w:szCs w:val="28"/>
        </w:rPr>
        <w:t xml:space="preserve">Bateson, G. (1972). </w:t>
      </w:r>
      <w:r w:rsidRPr="00CF16DD">
        <w:rPr>
          <w:rStyle w:val="a5"/>
          <w:sz w:val="28"/>
          <w:szCs w:val="28"/>
        </w:rPr>
        <w:t>Steps to an ecology of mind</w:t>
      </w:r>
      <w:r w:rsidRPr="00CF16DD">
        <w:rPr>
          <w:sz w:val="28"/>
          <w:szCs w:val="28"/>
        </w:rPr>
        <w:t xml:space="preserve">. Ballantine Books. </w:t>
      </w:r>
      <w:hyperlink r:id="rId29" w:tgtFrame="_blank" w:history="1">
        <w:r w:rsidRPr="00CF16DD">
          <w:rPr>
            <w:rStyle w:val="a3"/>
            <w:sz w:val="28"/>
            <w:szCs w:val="28"/>
          </w:rPr>
          <w:t>https://archive.org/details/stepstoecologyof00bate</w:t>
        </w:r>
      </w:hyperlink>
      <w:r w:rsidRPr="00CF16DD">
        <w:rPr>
          <w:sz w:val="28"/>
          <w:szCs w:val="28"/>
        </w:rPr>
        <w:t xml:space="preserve"> </w:t>
      </w:r>
      <w:r w:rsidRPr="00CF16DD">
        <w:rPr>
          <w:rStyle w:val="a5"/>
          <w:sz w:val="28"/>
          <w:szCs w:val="28"/>
          <w:shd w:val="clear" w:color="auto" w:fill="FFFFFF"/>
        </w:rPr>
        <w:t>[in English]</w:t>
      </w:r>
    </w:p>
    <w:p w:rsidR="00CF16DD" w:rsidRPr="00CF16DD" w:rsidRDefault="00CF16DD" w:rsidP="00CF16DD">
      <w:pPr>
        <w:pStyle w:val="a4"/>
        <w:numPr>
          <w:ilvl w:val="0"/>
          <w:numId w:val="7"/>
        </w:numPr>
        <w:spacing w:before="0" w:beforeAutospacing="0" w:after="0" w:afterAutospacing="0" w:line="360" w:lineRule="auto"/>
        <w:ind w:left="0" w:firstLine="709"/>
        <w:jc w:val="both"/>
        <w:rPr>
          <w:sz w:val="28"/>
          <w:szCs w:val="28"/>
        </w:rPr>
      </w:pPr>
      <w:r w:rsidRPr="00CF16DD">
        <w:rPr>
          <w:sz w:val="28"/>
          <w:szCs w:val="28"/>
        </w:rPr>
        <w:t xml:space="preserve">Dahlberg, G., &amp; Moss, P. (2005). </w:t>
      </w:r>
      <w:r w:rsidRPr="00CF16DD">
        <w:rPr>
          <w:rStyle w:val="a5"/>
          <w:sz w:val="28"/>
          <w:szCs w:val="28"/>
        </w:rPr>
        <w:t>Ethics and politics in early childhood education</w:t>
      </w:r>
      <w:r w:rsidRPr="00CF16DD">
        <w:rPr>
          <w:sz w:val="28"/>
          <w:szCs w:val="28"/>
        </w:rPr>
        <w:t xml:space="preserve">. Routledge. </w:t>
      </w:r>
      <w:hyperlink r:id="rId30" w:tgtFrame="_blank" w:history="1">
        <w:r w:rsidRPr="00CF16DD">
          <w:rPr>
            <w:rStyle w:val="a3"/>
            <w:sz w:val="28"/>
            <w:szCs w:val="28"/>
          </w:rPr>
          <w:t>https://archive.org/details/ethicspoliticsin0000dahl</w:t>
        </w:r>
      </w:hyperlink>
      <w:r w:rsidRPr="00CF16DD">
        <w:rPr>
          <w:sz w:val="28"/>
          <w:szCs w:val="28"/>
        </w:rPr>
        <w:t xml:space="preserve"> </w:t>
      </w:r>
      <w:r w:rsidRPr="00CF16DD">
        <w:rPr>
          <w:rStyle w:val="a5"/>
          <w:sz w:val="28"/>
          <w:szCs w:val="28"/>
          <w:shd w:val="clear" w:color="auto" w:fill="FFFFFF"/>
        </w:rPr>
        <w:t>[in English]</w:t>
      </w:r>
    </w:p>
    <w:p w:rsidR="00CF16DD" w:rsidRPr="00CF16DD" w:rsidRDefault="00CF16DD" w:rsidP="00CF16DD">
      <w:pPr>
        <w:pStyle w:val="a4"/>
        <w:numPr>
          <w:ilvl w:val="0"/>
          <w:numId w:val="7"/>
        </w:numPr>
        <w:spacing w:before="0" w:beforeAutospacing="0" w:after="0" w:afterAutospacing="0" w:line="360" w:lineRule="auto"/>
        <w:ind w:left="0" w:firstLine="709"/>
        <w:jc w:val="both"/>
        <w:rPr>
          <w:sz w:val="28"/>
          <w:szCs w:val="28"/>
        </w:rPr>
      </w:pPr>
      <w:r w:rsidRPr="00CF16DD">
        <w:rPr>
          <w:sz w:val="28"/>
          <w:szCs w:val="28"/>
        </w:rPr>
        <w:t xml:space="preserve">Dewey, J. (2004). </w:t>
      </w:r>
      <w:r w:rsidRPr="00CF16DD">
        <w:rPr>
          <w:rStyle w:val="a5"/>
          <w:sz w:val="28"/>
          <w:szCs w:val="28"/>
        </w:rPr>
        <w:t>Democracy and education</w:t>
      </w:r>
      <w:r w:rsidRPr="00CF16DD">
        <w:rPr>
          <w:sz w:val="28"/>
          <w:szCs w:val="28"/>
        </w:rPr>
        <w:t xml:space="preserve">. Macmillan. (Original work published 1916). </w:t>
      </w:r>
      <w:hyperlink r:id="rId31" w:tgtFrame="_blank" w:history="1">
        <w:r w:rsidRPr="00CF16DD">
          <w:rPr>
            <w:rStyle w:val="a3"/>
            <w:sz w:val="28"/>
            <w:szCs w:val="28"/>
          </w:rPr>
          <w:t>https://www.gutenberg.org/ebooks/852</w:t>
        </w:r>
      </w:hyperlink>
      <w:r w:rsidRPr="00CF16DD">
        <w:rPr>
          <w:sz w:val="28"/>
          <w:szCs w:val="28"/>
        </w:rPr>
        <w:t xml:space="preserve"> </w:t>
      </w:r>
      <w:r w:rsidRPr="00CF16DD">
        <w:rPr>
          <w:rStyle w:val="a5"/>
          <w:sz w:val="28"/>
          <w:szCs w:val="28"/>
          <w:shd w:val="clear" w:color="auto" w:fill="FFFFFF"/>
        </w:rPr>
        <w:t>[in English]</w:t>
      </w:r>
    </w:p>
    <w:p w:rsidR="00CF16DD" w:rsidRPr="00CF16DD" w:rsidRDefault="00CF16DD" w:rsidP="00CF16DD">
      <w:pPr>
        <w:pStyle w:val="a4"/>
        <w:numPr>
          <w:ilvl w:val="0"/>
          <w:numId w:val="7"/>
        </w:numPr>
        <w:spacing w:before="0" w:beforeAutospacing="0" w:after="0" w:afterAutospacing="0" w:line="360" w:lineRule="auto"/>
        <w:ind w:left="0" w:firstLine="709"/>
        <w:jc w:val="both"/>
        <w:rPr>
          <w:sz w:val="28"/>
          <w:szCs w:val="28"/>
        </w:rPr>
      </w:pPr>
      <w:r w:rsidRPr="00CF16DD">
        <w:rPr>
          <w:sz w:val="28"/>
          <w:szCs w:val="28"/>
        </w:rPr>
        <w:t xml:space="preserve">Dewey, J. (1997). </w:t>
      </w:r>
      <w:r w:rsidRPr="00CF16DD">
        <w:rPr>
          <w:rStyle w:val="a5"/>
          <w:sz w:val="28"/>
          <w:szCs w:val="28"/>
        </w:rPr>
        <w:t>Experience and education</w:t>
      </w:r>
      <w:r w:rsidRPr="00CF16DD">
        <w:rPr>
          <w:sz w:val="28"/>
          <w:szCs w:val="28"/>
        </w:rPr>
        <w:t xml:space="preserve">. Kappa Delta Pi. (Original work published 1938). </w:t>
      </w:r>
      <w:hyperlink r:id="rId32" w:tgtFrame="_blank" w:history="1">
        <w:r w:rsidRPr="00CF16DD">
          <w:rPr>
            <w:rStyle w:val="a3"/>
            <w:sz w:val="28"/>
            <w:szCs w:val="28"/>
          </w:rPr>
          <w:t>https://archive.org/details/experienceeducat00dewe_0</w:t>
        </w:r>
      </w:hyperlink>
      <w:r w:rsidRPr="00CF16DD">
        <w:rPr>
          <w:sz w:val="28"/>
          <w:szCs w:val="28"/>
        </w:rPr>
        <w:t xml:space="preserve"> </w:t>
      </w:r>
      <w:r w:rsidRPr="00CF16DD">
        <w:rPr>
          <w:rStyle w:val="a5"/>
          <w:sz w:val="28"/>
          <w:szCs w:val="28"/>
          <w:shd w:val="clear" w:color="auto" w:fill="FFFFFF"/>
        </w:rPr>
        <w:t>[in English]</w:t>
      </w:r>
    </w:p>
    <w:p w:rsidR="00CF16DD" w:rsidRPr="00CF16DD" w:rsidRDefault="00CF16DD" w:rsidP="00CF16DD">
      <w:pPr>
        <w:pStyle w:val="a4"/>
        <w:numPr>
          <w:ilvl w:val="0"/>
          <w:numId w:val="7"/>
        </w:numPr>
        <w:spacing w:before="0" w:beforeAutospacing="0" w:after="0" w:afterAutospacing="0" w:line="360" w:lineRule="auto"/>
        <w:ind w:left="0" w:firstLine="709"/>
        <w:jc w:val="both"/>
        <w:rPr>
          <w:sz w:val="28"/>
          <w:szCs w:val="28"/>
        </w:rPr>
      </w:pPr>
      <w:r w:rsidRPr="00CF16DD">
        <w:rPr>
          <w:sz w:val="28"/>
          <w:szCs w:val="28"/>
        </w:rPr>
        <w:t xml:space="preserve">Edwards, C., Gandini, L., &amp; Forman, G. (Eds.). (2012). </w:t>
      </w:r>
      <w:r w:rsidRPr="00CF16DD">
        <w:rPr>
          <w:rStyle w:val="a5"/>
          <w:sz w:val="28"/>
          <w:szCs w:val="28"/>
        </w:rPr>
        <w:t>The hundred languages of children: The Reggio Emilia experience in transformation</w:t>
      </w:r>
      <w:r w:rsidRPr="00CF16DD">
        <w:rPr>
          <w:sz w:val="28"/>
          <w:szCs w:val="28"/>
        </w:rPr>
        <w:t xml:space="preserve"> (3rd ed.). Praeger. </w:t>
      </w:r>
      <w:hyperlink r:id="rId33" w:tgtFrame="_blank" w:history="1">
        <w:r w:rsidRPr="00CF16DD">
          <w:rPr>
            <w:rStyle w:val="a3"/>
            <w:sz w:val="28"/>
            <w:szCs w:val="28"/>
          </w:rPr>
          <w:t>https://eric.ed.gov/?id=ED531297</w:t>
        </w:r>
      </w:hyperlink>
      <w:r w:rsidRPr="00CF16DD">
        <w:rPr>
          <w:sz w:val="28"/>
          <w:szCs w:val="28"/>
        </w:rPr>
        <w:t xml:space="preserve"> </w:t>
      </w:r>
      <w:r w:rsidRPr="00CF16DD">
        <w:rPr>
          <w:rStyle w:val="a5"/>
          <w:sz w:val="28"/>
          <w:szCs w:val="28"/>
          <w:shd w:val="clear" w:color="auto" w:fill="FFFFFF"/>
        </w:rPr>
        <w:t>[in English]</w:t>
      </w:r>
    </w:p>
    <w:p w:rsidR="00CF16DD" w:rsidRPr="00CF16DD" w:rsidRDefault="00CF16DD" w:rsidP="00CF16DD">
      <w:pPr>
        <w:pStyle w:val="a4"/>
        <w:numPr>
          <w:ilvl w:val="0"/>
          <w:numId w:val="7"/>
        </w:numPr>
        <w:spacing w:before="0" w:beforeAutospacing="0" w:after="0" w:afterAutospacing="0" w:line="360" w:lineRule="auto"/>
        <w:ind w:left="0" w:firstLine="709"/>
        <w:jc w:val="both"/>
        <w:rPr>
          <w:sz w:val="28"/>
          <w:szCs w:val="28"/>
        </w:rPr>
      </w:pPr>
      <w:r w:rsidRPr="00CF16DD">
        <w:rPr>
          <w:sz w:val="28"/>
          <w:szCs w:val="28"/>
        </w:rPr>
        <w:t xml:space="preserve">Forman, G., &amp; Fyfe, B. (2012). Negotiated learning: Progressive inquiry with young children. In C. Edwards, L. Gandini, &amp; G. Forman (Eds.), </w:t>
      </w:r>
      <w:r w:rsidRPr="00CF16DD">
        <w:rPr>
          <w:rStyle w:val="a5"/>
          <w:sz w:val="28"/>
          <w:szCs w:val="28"/>
        </w:rPr>
        <w:t>The hundred languages of children</w:t>
      </w:r>
      <w:r w:rsidRPr="00CF16DD">
        <w:rPr>
          <w:sz w:val="28"/>
          <w:szCs w:val="28"/>
        </w:rPr>
        <w:t xml:space="preserve"> (3rd ed., pp. 123–145). Praeger. </w:t>
      </w:r>
      <w:hyperlink r:id="rId34" w:tgtFrame="_blank" w:history="1">
        <w:r w:rsidRPr="00CF16DD">
          <w:rPr>
            <w:rStyle w:val="a3"/>
            <w:sz w:val="28"/>
            <w:szCs w:val="28"/>
          </w:rPr>
          <w:t>https://www.researchgate.net/publication/377690016_Negotiated_Learning_Through_Design_Documentation_And_Discourse</w:t>
        </w:r>
      </w:hyperlink>
      <w:r w:rsidRPr="00CF16DD">
        <w:rPr>
          <w:sz w:val="28"/>
          <w:szCs w:val="28"/>
        </w:rPr>
        <w:t xml:space="preserve"> </w:t>
      </w:r>
      <w:r w:rsidRPr="00CF16DD">
        <w:rPr>
          <w:rStyle w:val="a5"/>
          <w:sz w:val="28"/>
          <w:szCs w:val="28"/>
          <w:shd w:val="clear" w:color="auto" w:fill="FFFFFF"/>
        </w:rPr>
        <w:t>[in English]</w:t>
      </w:r>
    </w:p>
    <w:p w:rsidR="00CF16DD" w:rsidRPr="00CF16DD" w:rsidRDefault="00CF16DD" w:rsidP="00CF16DD">
      <w:pPr>
        <w:pStyle w:val="a4"/>
        <w:numPr>
          <w:ilvl w:val="0"/>
          <w:numId w:val="7"/>
        </w:numPr>
        <w:spacing w:before="0" w:beforeAutospacing="0" w:after="0" w:afterAutospacing="0" w:line="360" w:lineRule="auto"/>
        <w:ind w:left="0" w:firstLine="709"/>
        <w:jc w:val="both"/>
        <w:rPr>
          <w:sz w:val="28"/>
          <w:szCs w:val="28"/>
        </w:rPr>
      </w:pPr>
      <w:r w:rsidRPr="00CF16DD">
        <w:rPr>
          <w:sz w:val="28"/>
          <w:szCs w:val="28"/>
        </w:rPr>
        <w:t xml:space="preserve">von Foerster, H. (2003). </w:t>
      </w:r>
      <w:r w:rsidRPr="00CF16DD">
        <w:rPr>
          <w:rStyle w:val="a5"/>
          <w:sz w:val="28"/>
          <w:szCs w:val="28"/>
        </w:rPr>
        <w:t>Understanding understanding: Essays on cybernetics and cognition</w:t>
      </w:r>
      <w:r w:rsidRPr="00CF16DD">
        <w:rPr>
          <w:sz w:val="28"/>
          <w:szCs w:val="28"/>
        </w:rPr>
        <w:t xml:space="preserve">. Springer. </w:t>
      </w:r>
      <w:hyperlink r:id="rId35" w:tgtFrame="_blank" w:history="1">
        <w:r w:rsidRPr="00CF16DD">
          <w:rPr>
            <w:rStyle w:val="a3"/>
            <w:sz w:val="28"/>
            <w:szCs w:val="28"/>
          </w:rPr>
          <w:t>https://link.springer.com/book/10.1007/b97451</w:t>
        </w:r>
      </w:hyperlink>
      <w:r w:rsidRPr="00CF16DD">
        <w:rPr>
          <w:sz w:val="28"/>
          <w:szCs w:val="28"/>
        </w:rPr>
        <w:t xml:space="preserve"> </w:t>
      </w:r>
      <w:r w:rsidRPr="00CF16DD">
        <w:rPr>
          <w:rStyle w:val="a5"/>
          <w:sz w:val="28"/>
          <w:szCs w:val="28"/>
          <w:shd w:val="clear" w:color="auto" w:fill="FFFFFF"/>
        </w:rPr>
        <w:t>[in English]</w:t>
      </w:r>
    </w:p>
    <w:p w:rsidR="00CF16DD" w:rsidRPr="00CF16DD" w:rsidRDefault="00CF16DD" w:rsidP="00CF16DD">
      <w:pPr>
        <w:pStyle w:val="a4"/>
        <w:numPr>
          <w:ilvl w:val="0"/>
          <w:numId w:val="7"/>
        </w:numPr>
        <w:spacing w:before="0" w:beforeAutospacing="0" w:after="0" w:afterAutospacing="0" w:line="360" w:lineRule="auto"/>
        <w:ind w:left="0" w:firstLine="709"/>
        <w:jc w:val="both"/>
        <w:rPr>
          <w:sz w:val="28"/>
          <w:szCs w:val="28"/>
        </w:rPr>
      </w:pPr>
      <w:r w:rsidRPr="00CF16DD">
        <w:rPr>
          <w:sz w:val="28"/>
          <w:szCs w:val="28"/>
        </w:rPr>
        <w:t xml:space="preserve">von Glasersfeld, E. (1995). </w:t>
      </w:r>
      <w:r w:rsidRPr="00CF16DD">
        <w:rPr>
          <w:rStyle w:val="a5"/>
          <w:sz w:val="28"/>
          <w:szCs w:val="28"/>
        </w:rPr>
        <w:t>Radical constructivism: A way of knowing and learning</w:t>
      </w:r>
      <w:r w:rsidRPr="00CF16DD">
        <w:rPr>
          <w:sz w:val="28"/>
          <w:szCs w:val="28"/>
        </w:rPr>
        <w:t xml:space="preserve">. Falmer Press. </w:t>
      </w:r>
      <w:hyperlink r:id="rId36" w:tgtFrame="_blank" w:history="1">
        <w:r w:rsidRPr="00CF16DD">
          <w:rPr>
            <w:rStyle w:val="a3"/>
            <w:sz w:val="28"/>
            <w:szCs w:val="28"/>
          </w:rPr>
          <w:t>https://archive.org/details/radicalconstruct0000glas</w:t>
        </w:r>
      </w:hyperlink>
      <w:r w:rsidRPr="00CF16DD">
        <w:rPr>
          <w:sz w:val="28"/>
          <w:szCs w:val="28"/>
        </w:rPr>
        <w:t xml:space="preserve"> </w:t>
      </w:r>
      <w:r w:rsidRPr="00CF16DD">
        <w:rPr>
          <w:rStyle w:val="a5"/>
          <w:sz w:val="28"/>
          <w:szCs w:val="28"/>
          <w:shd w:val="clear" w:color="auto" w:fill="FFFFFF"/>
        </w:rPr>
        <w:t>[in English]</w:t>
      </w:r>
    </w:p>
    <w:p w:rsidR="00CF16DD" w:rsidRPr="00CF16DD" w:rsidRDefault="00CF16DD" w:rsidP="00CF16DD">
      <w:pPr>
        <w:pStyle w:val="a4"/>
        <w:numPr>
          <w:ilvl w:val="0"/>
          <w:numId w:val="7"/>
        </w:numPr>
        <w:spacing w:before="0" w:beforeAutospacing="0" w:after="0" w:afterAutospacing="0" w:line="360" w:lineRule="auto"/>
        <w:ind w:left="0" w:firstLine="709"/>
        <w:jc w:val="both"/>
        <w:rPr>
          <w:sz w:val="28"/>
          <w:szCs w:val="28"/>
        </w:rPr>
      </w:pPr>
      <w:r w:rsidRPr="00CF16DD">
        <w:rPr>
          <w:sz w:val="28"/>
          <w:szCs w:val="28"/>
        </w:rPr>
        <w:t xml:space="preserve">Lillard, A. (2017). </w:t>
      </w:r>
      <w:r w:rsidRPr="00CF16DD">
        <w:rPr>
          <w:rStyle w:val="a5"/>
          <w:sz w:val="28"/>
          <w:szCs w:val="28"/>
        </w:rPr>
        <w:t>Montessori: The science behind the genius</w:t>
      </w:r>
      <w:r w:rsidRPr="00CF16DD">
        <w:rPr>
          <w:sz w:val="28"/>
          <w:szCs w:val="28"/>
        </w:rPr>
        <w:t xml:space="preserve"> (Updated ed.). Oxford University Press. </w:t>
      </w:r>
      <w:hyperlink r:id="rId37" w:tgtFrame="_blank" w:history="1">
        <w:r w:rsidRPr="00CF16DD">
          <w:rPr>
            <w:rStyle w:val="a3"/>
            <w:sz w:val="28"/>
            <w:szCs w:val="28"/>
          </w:rPr>
          <w:t>https://archive.org/details/montessoriscienc00lill</w:t>
        </w:r>
      </w:hyperlink>
      <w:r w:rsidRPr="00CF16DD">
        <w:rPr>
          <w:sz w:val="28"/>
          <w:szCs w:val="28"/>
        </w:rPr>
        <w:t xml:space="preserve"> </w:t>
      </w:r>
      <w:r w:rsidRPr="00CF16DD">
        <w:rPr>
          <w:rStyle w:val="a5"/>
          <w:sz w:val="28"/>
          <w:szCs w:val="28"/>
          <w:shd w:val="clear" w:color="auto" w:fill="FFFFFF"/>
        </w:rPr>
        <w:t>[in English]</w:t>
      </w:r>
    </w:p>
    <w:p w:rsidR="00CF16DD" w:rsidRPr="00CF16DD" w:rsidRDefault="00CF16DD" w:rsidP="00CF16DD">
      <w:pPr>
        <w:pStyle w:val="a4"/>
        <w:numPr>
          <w:ilvl w:val="0"/>
          <w:numId w:val="7"/>
        </w:numPr>
        <w:spacing w:before="0" w:beforeAutospacing="0" w:after="0" w:afterAutospacing="0" w:line="360" w:lineRule="auto"/>
        <w:ind w:left="0" w:firstLine="709"/>
        <w:jc w:val="both"/>
        <w:rPr>
          <w:sz w:val="28"/>
          <w:szCs w:val="28"/>
        </w:rPr>
      </w:pPr>
      <w:r w:rsidRPr="00CF16DD">
        <w:rPr>
          <w:sz w:val="28"/>
          <w:szCs w:val="28"/>
        </w:rPr>
        <w:lastRenderedPageBreak/>
        <w:t xml:space="preserve">Malaguzzi, L. (1996). </w:t>
      </w:r>
      <w:r w:rsidRPr="00CF16DD">
        <w:rPr>
          <w:rStyle w:val="a5"/>
          <w:sz w:val="28"/>
          <w:szCs w:val="28"/>
        </w:rPr>
        <w:t>The hundred languages of children</w:t>
      </w:r>
      <w:r w:rsidRPr="00CF16DD">
        <w:rPr>
          <w:sz w:val="28"/>
          <w:szCs w:val="28"/>
        </w:rPr>
        <w:t xml:space="preserve">. Reggio Children. </w:t>
      </w:r>
      <w:hyperlink r:id="rId38" w:tgtFrame="_blank" w:history="1">
        <w:r w:rsidRPr="00CF16DD">
          <w:rPr>
            <w:rStyle w:val="a3"/>
            <w:sz w:val="28"/>
            <w:szCs w:val="28"/>
          </w:rPr>
          <w:t>https://www.reggiochildren.it/en/rc/publishing/books-and-audiovisuals/the-hundred-languages-of-children/</w:t>
        </w:r>
      </w:hyperlink>
      <w:r w:rsidRPr="00CF16DD">
        <w:rPr>
          <w:sz w:val="28"/>
          <w:szCs w:val="28"/>
        </w:rPr>
        <w:t xml:space="preserve"> </w:t>
      </w:r>
      <w:r w:rsidRPr="00CF16DD">
        <w:rPr>
          <w:rStyle w:val="a5"/>
          <w:sz w:val="28"/>
          <w:szCs w:val="28"/>
          <w:shd w:val="clear" w:color="auto" w:fill="FFFFFF"/>
        </w:rPr>
        <w:t>[in English]</w:t>
      </w:r>
    </w:p>
    <w:p w:rsidR="00CF16DD" w:rsidRPr="00CF16DD" w:rsidRDefault="00CF16DD" w:rsidP="00CF16DD">
      <w:pPr>
        <w:pStyle w:val="a4"/>
        <w:numPr>
          <w:ilvl w:val="0"/>
          <w:numId w:val="7"/>
        </w:numPr>
        <w:spacing w:before="0" w:beforeAutospacing="0" w:after="0" w:afterAutospacing="0" w:line="360" w:lineRule="auto"/>
        <w:ind w:left="0" w:firstLine="709"/>
        <w:jc w:val="both"/>
        <w:rPr>
          <w:sz w:val="28"/>
          <w:szCs w:val="28"/>
        </w:rPr>
      </w:pPr>
      <w:r w:rsidRPr="00CF16DD">
        <w:rPr>
          <w:sz w:val="28"/>
          <w:szCs w:val="28"/>
        </w:rPr>
        <w:t xml:space="preserve">Maturana, H., &amp; Varela, F. (1980). </w:t>
      </w:r>
      <w:r w:rsidRPr="00CF16DD">
        <w:rPr>
          <w:rStyle w:val="a5"/>
          <w:sz w:val="28"/>
          <w:szCs w:val="28"/>
        </w:rPr>
        <w:t>Autopoiesis and cognition: The realization of the living</w:t>
      </w:r>
      <w:r w:rsidRPr="00CF16DD">
        <w:rPr>
          <w:sz w:val="28"/>
          <w:szCs w:val="28"/>
        </w:rPr>
        <w:t xml:space="preserve">. Reidel. </w:t>
      </w:r>
      <w:hyperlink r:id="rId39" w:tgtFrame="_blank" w:history="1">
        <w:r w:rsidRPr="00CF16DD">
          <w:rPr>
            <w:rStyle w:val="a3"/>
            <w:sz w:val="28"/>
            <w:szCs w:val="28"/>
          </w:rPr>
          <w:t>https://monoskop.org/File:Maturana_Humberto_R_Varela_Francisco_J_Autopoiesis_and_Cognition_The_Realization_of_the_Living.pdf</w:t>
        </w:r>
      </w:hyperlink>
      <w:r w:rsidRPr="00CF16DD">
        <w:rPr>
          <w:sz w:val="28"/>
          <w:szCs w:val="28"/>
        </w:rPr>
        <w:t xml:space="preserve"> </w:t>
      </w:r>
      <w:r w:rsidRPr="00CF16DD">
        <w:rPr>
          <w:rStyle w:val="a5"/>
          <w:sz w:val="28"/>
          <w:szCs w:val="28"/>
          <w:shd w:val="clear" w:color="auto" w:fill="FFFFFF"/>
        </w:rPr>
        <w:t>[in English]</w:t>
      </w:r>
    </w:p>
    <w:p w:rsidR="00CF16DD" w:rsidRPr="00CF16DD" w:rsidRDefault="00CF16DD" w:rsidP="00CF16DD">
      <w:pPr>
        <w:pStyle w:val="a4"/>
        <w:numPr>
          <w:ilvl w:val="0"/>
          <w:numId w:val="7"/>
        </w:numPr>
        <w:spacing w:before="0" w:beforeAutospacing="0" w:after="0" w:afterAutospacing="0" w:line="360" w:lineRule="auto"/>
        <w:ind w:left="0" w:firstLine="709"/>
        <w:jc w:val="both"/>
        <w:rPr>
          <w:sz w:val="28"/>
          <w:szCs w:val="28"/>
        </w:rPr>
      </w:pPr>
      <w:r w:rsidRPr="00CF16DD">
        <w:rPr>
          <w:sz w:val="28"/>
          <w:szCs w:val="28"/>
        </w:rPr>
        <w:t xml:space="preserve">Nuttall, J. (Ed.). (2013). </w:t>
      </w:r>
      <w:r w:rsidRPr="00CF16DD">
        <w:rPr>
          <w:rStyle w:val="a5"/>
          <w:sz w:val="28"/>
          <w:szCs w:val="28"/>
        </w:rPr>
        <w:t>Weaving Te Whāriki: Aotearoa New Zealand’s early childhood curriculum document in theory and practice</w:t>
      </w:r>
      <w:r w:rsidRPr="00CF16DD">
        <w:rPr>
          <w:sz w:val="28"/>
          <w:szCs w:val="28"/>
        </w:rPr>
        <w:t xml:space="preserve"> (2nd ed.). NZCER Press. </w:t>
      </w:r>
      <w:hyperlink r:id="rId40" w:tgtFrame="_blank" w:history="1">
        <w:r w:rsidRPr="00CF16DD">
          <w:rPr>
            <w:rStyle w:val="a3"/>
            <w:sz w:val="28"/>
            <w:szCs w:val="28"/>
          </w:rPr>
          <w:t>https://www.nzcer.org.nz/nzcerpress/weaving-te-whariki-aotearoa-new-zealand-s-early-childhood-curriculum-document-theory-an-0</w:t>
        </w:r>
      </w:hyperlink>
      <w:r w:rsidRPr="00CF16DD">
        <w:rPr>
          <w:sz w:val="28"/>
          <w:szCs w:val="28"/>
        </w:rPr>
        <w:t xml:space="preserve"> </w:t>
      </w:r>
      <w:r w:rsidRPr="00CF16DD">
        <w:rPr>
          <w:rStyle w:val="a5"/>
          <w:sz w:val="28"/>
          <w:szCs w:val="28"/>
          <w:shd w:val="clear" w:color="auto" w:fill="FFFFFF"/>
        </w:rPr>
        <w:t>[in English]</w:t>
      </w:r>
    </w:p>
    <w:p w:rsidR="00CF16DD" w:rsidRPr="00CF16DD" w:rsidRDefault="00CF16DD" w:rsidP="00CF16DD">
      <w:pPr>
        <w:pStyle w:val="a4"/>
        <w:numPr>
          <w:ilvl w:val="0"/>
          <w:numId w:val="7"/>
        </w:numPr>
        <w:spacing w:before="0" w:beforeAutospacing="0" w:after="0" w:afterAutospacing="0" w:line="360" w:lineRule="auto"/>
        <w:ind w:left="0" w:firstLine="709"/>
        <w:jc w:val="both"/>
        <w:rPr>
          <w:sz w:val="28"/>
          <w:szCs w:val="28"/>
        </w:rPr>
      </w:pPr>
      <w:r w:rsidRPr="00CF16DD">
        <w:rPr>
          <w:sz w:val="28"/>
          <w:szCs w:val="28"/>
        </w:rPr>
        <w:t xml:space="preserve">OECD. (2020). </w:t>
      </w:r>
      <w:r w:rsidRPr="00CF16DD">
        <w:rPr>
          <w:rStyle w:val="a5"/>
          <w:sz w:val="28"/>
          <w:szCs w:val="28"/>
        </w:rPr>
        <w:t>Education at a glance 2020: OECD indicators</w:t>
      </w:r>
      <w:r w:rsidRPr="00CF16DD">
        <w:rPr>
          <w:sz w:val="28"/>
          <w:szCs w:val="28"/>
        </w:rPr>
        <w:t xml:space="preserve">. OECD Publishing. </w:t>
      </w:r>
      <w:hyperlink r:id="rId41" w:tgtFrame="_blank" w:history="1">
        <w:r w:rsidRPr="00CF16DD">
          <w:rPr>
            <w:rStyle w:val="a3"/>
            <w:sz w:val="28"/>
            <w:szCs w:val="28"/>
          </w:rPr>
          <w:t>https://www.oecd.org/content/dam/oecd/en/publications/reports/2020/09/education-at-a-glance-2020_19b01e87/69096873-en.pdf</w:t>
        </w:r>
      </w:hyperlink>
      <w:r w:rsidRPr="00CF16DD">
        <w:rPr>
          <w:sz w:val="28"/>
          <w:szCs w:val="28"/>
        </w:rPr>
        <w:t xml:space="preserve"> </w:t>
      </w:r>
      <w:r w:rsidRPr="00CF16DD">
        <w:rPr>
          <w:rStyle w:val="a5"/>
          <w:sz w:val="28"/>
          <w:szCs w:val="28"/>
          <w:shd w:val="clear" w:color="auto" w:fill="FFFFFF"/>
        </w:rPr>
        <w:t>[in English]</w:t>
      </w:r>
    </w:p>
    <w:p w:rsidR="00CF16DD" w:rsidRPr="00CF16DD" w:rsidRDefault="00CF16DD" w:rsidP="00CF16DD">
      <w:pPr>
        <w:pStyle w:val="a4"/>
        <w:numPr>
          <w:ilvl w:val="0"/>
          <w:numId w:val="7"/>
        </w:numPr>
        <w:spacing w:before="0" w:beforeAutospacing="0" w:after="0" w:afterAutospacing="0" w:line="360" w:lineRule="auto"/>
        <w:ind w:left="0" w:firstLine="709"/>
        <w:jc w:val="both"/>
        <w:rPr>
          <w:sz w:val="28"/>
          <w:szCs w:val="28"/>
        </w:rPr>
      </w:pPr>
      <w:r w:rsidRPr="00CF16DD">
        <w:rPr>
          <w:sz w:val="28"/>
          <w:szCs w:val="28"/>
        </w:rPr>
        <w:t xml:space="preserve">Rinaldi, C. (2006). </w:t>
      </w:r>
      <w:r w:rsidRPr="00CF16DD">
        <w:rPr>
          <w:rStyle w:val="a5"/>
          <w:sz w:val="28"/>
          <w:szCs w:val="28"/>
        </w:rPr>
        <w:t>In dialogue with Reggio Emilia: Listening, researching and learning</w:t>
      </w:r>
      <w:r w:rsidRPr="00CF16DD">
        <w:rPr>
          <w:sz w:val="28"/>
          <w:szCs w:val="28"/>
        </w:rPr>
        <w:t xml:space="preserve">. Routledge. </w:t>
      </w:r>
      <w:hyperlink r:id="rId42" w:tgtFrame="_blank" w:history="1">
        <w:r w:rsidRPr="00CF16DD">
          <w:rPr>
            <w:rStyle w:val="a3"/>
            <w:sz w:val="28"/>
            <w:szCs w:val="28"/>
          </w:rPr>
          <w:t>https://www.routledge.com/In-Dialogue-with-Reggio-Emilia-Listening-Researching-and-Learning/Rinaldi/p/book/9780367427047</w:t>
        </w:r>
      </w:hyperlink>
      <w:r w:rsidRPr="00CF16DD">
        <w:rPr>
          <w:sz w:val="28"/>
          <w:szCs w:val="28"/>
        </w:rPr>
        <w:t xml:space="preserve"> </w:t>
      </w:r>
      <w:r w:rsidRPr="00CF16DD">
        <w:rPr>
          <w:rStyle w:val="a5"/>
          <w:sz w:val="28"/>
          <w:szCs w:val="28"/>
          <w:shd w:val="clear" w:color="auto" w:fill="FFFFFF"/>
        </w:rPr>
        <w:t>[in English]</w:t>
      </w:r>
    </w:p>
    <w:p w:rsidR="00CF16DD" w:rsidRPr="00CF16DD" w:rsidRDefault="00CF16DD" w:rsidP="00CF16DD">
      <w:pPr>
        <w:pStyle w:val="a4"/>
        <w:numPr>
          <w:ilvl w:val="0"/>
          <w:numId w:val="7"/>
        </w:numPr>
        <w:spacing w:before="0" w:beforeAutospacing="0" w:after="0" w:afterAutospacing="0" w:line="360" w:lineRule="auto"/>
        <w:ind w:left="0" w:firstLine="709"/>
        <w:jc w:val="both"/>
        <w:rPr>
          <w:sz w:val="28"/>
          <w:szCs w:val="28"/>
        </w:rPr>
      </w:pPr>
      <w:r w:rsidRPr="00CF16DD">
        <w:rPr>
          <w:sz w:val="28"/>
          <w:szCs w:val="28"/>
        </w:rPr>
        <w:t xml:space="preserve">Rodd, J. (2013). </w:t>
      </w:r>
      <w:r w:rsidRPr="00CF16DD">
        <w:rPr>
          <w:rStyle w:val="a5"/>
          <w:sz w:val="28"/>
          <w:szCs w:val="28"/>
        </w:rPr>
        <w:t>Leadership in early childhood</w:t>
      </w:r>
      <w:r w:rsidRPr="00CF16DD">
        <w:rPr>
          <w:sz w:val="28"/>
          <w:szCs w:val="28"/>
        </w:rPr>
        <w:t xml:space="preserve"> (4th ed.). Open University Press. </w:t>
      </w:r>
      <w:hyperlink r:id="rId43" w:tgtFrame="_blank" w:history="1">
        <w:r w:rsidRPr="00CF16DD">
          <w:rPr>
            <w:rStyle w:val="a3"/>
            <w:sz w:val="28"/>
            <w:szCs w:val="28"/>
          </w:rPr>
          <w:t>https://www.taylorfrancis.com/books/mono/10.4324/9781003116295/leadership-early-childhood-jillian-rodd</w:t>
        </w:r>
      </w:hyperlink>
      <w:r w:rsidRPr="00CF16DD">
        <w:rPr>
          <w:sz w:val="28"/>
          <w:szCs w:val="28"/>
        </w:rPr>
        <w:t xml:space="preserve"> </w:t>
      </w:r>
      <w:r w:rsidRPr="00CF16DD">
        <w:rPr>
          <w:rStyle w:val="a5"/>
          <w:sz w:val="28"/>
          <w:szCs w:val="28"/>
          <w:shd w:val="clear" w:color="auto" w:fill="FFFFFF"/>
        </w:rPr>
        <w:t>[in English]</w:t>
      </w:r>
    </w:p>
    <w:p w:rsidR="00CF16DD" w:rsidRPr="00CF16DD" w:rsidRDefault="00CF16DD" w:rsidP="00CF16DD">
      <w:pPr>
        <w:pStyle w:val="a4"/>
        <w:numPr>
          <w:ilvl w:val="0"/>
          <w:numId w:val="7"/>
        </w:numPr>
        <w:spacing w:before="0" w:beforeAutospacing="0" w:after="0" w:afterAutospacing="0" w:line="360" w:lineRule="auto"/>
        <w:ind w:left="0" w:firstLine="709"/>
        <w:jc w:val="both"/>
        <w:rPr>
          <w:sz w:val="28"/>
          <w:szCs w:val="28"/>
        </w:rPr>
      </w:pPr>
      <w:r w:rsidRPr="00CF16DD">
        <w:rPr>
          <w:sz w:val="28"/>
          <w:szCs w:val="28"/>
        </w:rPr>
        <w:t xml:space="preserve">Spillane, J. (2006). </w:t>
      </w:r>
      <w:r w:rsidRPr="00CF16DD">
        <w:rPr>
          <w:rStyle w:val="a5"/>
          <w:sz w:val="28"/>
          <w:szCs w:val="28"/>
        </w:rPr>
        <w:t>Distributed leadership</w:t>
      </w:r>
      <w:r w:rsidRPr="00CF16DD">
        <w:rPr>
          <w:sz w:val="28"/>
          <w:szCs w:val="28"/>
        </w:rPr>
        <w:t xml:space="preserve">. Jossey-Bass. </w:t>
      </w:r>
      <w:hyperlink r:id="rId44" w:tgtFrame="_blank" w:history="1">
        <w:r w:rsidRPr="00CF16DD">
          <w:rPr>
            <w:rStyle w:val="a3"/>
            <w:sz w:val="28"/>
            <w:szCs w:val="28"/>
          </w:rPr>
          <w:t>https://www.researchgate.net/publication/233061505_Distributed_Leadership</w:t>
        </w:r>
      </w:hyperlink>
      <w:r w:rsidRPr="00CF16DD">
        <w:rPr>
          <w:sz w:val="28"/>
          <w:szCs w:val="28"/>
        </w:rPr>
        <w:t xml:space="preserve"> </w:t>
      </w:r>
      <w:r w:rsidRPr="00CF16DD">
        <w:rPr>
          <w:rStyle w:val="a5"/>
          <w:sz w:val="28"/>
          <w:szCs w:val="28"/>
          <w:shd w:val="clear" w:color="auto" w:fill="FFFFFF"/>
        </w:rPr>
        <w:t>[in English]</w:t>
      </w:r>
    </w:p>
    <w:p w:rsidR="00CF16DD" w:rsidRPr="00CF16DD" w:rsidRDefault="00CF16DD" w:rsidP="00CF16DD">
      <w:pPr>
        <w:pStyle w:val="a4"/>
        <w:numPr>
          <w:ilvl w:val="0"/>
          <w:numId w:val="7"/>
        </w:numPr>
        <w:spacing w:before="0" w:beforeAutospacing="0" w:after="0" w:afterAutospacing="0" w:line="360" w:lineRule="auto"/>
        <w:ind w:left="0" w:firstLine="709"/>
        <w:jc w:val="both"/>
        <w:rPr>
          <w:sz w:val="28"/>
          <w:szCs w:val="28"/>
        </w:rPr>
      </w:pPr>
      <w:r w:rsidRPr="00CF16DD">
        <w:rPr>
          <w:sz w:val="28"/>
          <w:szCs w:val="28"/>
        </w:rPr>
        <w:t xml:space="preserve">UNICEF Ukraine. (2025). </w:t>
      </w:r>
      <w:r w:rsidRPr="00CF16DD">
        <w:rPr>
          <w:rStyle w:val="a5"/>
          <w:sz w:val="28"/>
          <w:szCs w:val="28"/>
        </w:rPr>
        <w:t>Early childhood education in Ukraine: Recovery and resilience framework</w:t>
      </w:r>
      <w:r w:rsidRPr="00CF16DD">
        <w:rPr>
          <w:sz w:val="28"/>
          <w:szCs w:val="28"/>
        </w:rPr>
        <w:t xml:space="preserve">. UNICEF. </w:t>
      </w:r>
      <w:hyperlink r:id="rId45" w:tgtFrame="_blank" w:history="1">
        <w:r w:rsidRPr="00CF16DD">
          <w:rPr>
            <w:rStyle w:val="a3"/>
            <w:sz w:val="28"/>
            <w:szCs w:val="28"/>
          </w:rPr>
          <w:t>https://www.unicef.org/ukraine/media/53936/file/2025_Better%20Learning%20and%20Skills%20brief.pdf.pdf</w:t>
        </w:r>
      </w:hyperlink>
      <w:r w:rsidRPr="00CF16DD">
        <w:rPr>
          <w:sz w:val="28"/>
          <w:szCs w:val="28"/>
        </w:rPr>
        <w:t xml:space="preserve"> </w:t>
      </w:r>
      <w:r w:rsidRPr="00CF16DD">
        <w:rPr>
          <w:rStyle w:val="a5"/>
          <w:sz w:val="28"/>
          <w:szCs w:val="28"/>
          <w:shd w:val="clear" w:color="auto" w:fill="FFFFFF"/>
        </w:rPr>
        <w:t>[in English]</w:t>
      </w:r>
    </w:p>
    <w:p w:rsidR="00CF16DD" w:rsidRPr="00CF16DD" w:rsidRDefault="00CF16DD" w:rsidP="00CF16DD">
      <w:pPr>
        <w:pStyle w:val="a4"/>
        <w:numPr>
          <w:ilvl w:val="0"/>
          <w:numId w:val="7"/>
        </w:numPr>
        <w:spacing w:before="0" w:beforeAutospacing="0" w:after="0" w:afterAutospacing="0" w:line="360" w:lineRule="auto"/>
        <w:ind w:left="0" w:firstLine="709"/>
        <w:jc w:val="both"/>
        <w:rPr>
          <w:sz w:val="28"/>
          <w:szCs w:val="28"/>
        </w:rPr>
      </w:pPr>
      <w:r w:rsidRPr="00CF16DD">
        <w:rPr>
          <w:sz w:val="28"/>
          <w:szCs w:val="28"/>
        </w:rPr>
        <w:t xml:space="preserve">Bazovyi komponent doshkilnoi osvity (Derzhavnyi standart doshkilnoi osvity): Nova redaktsiia. Nakaz MON Ukrainy No. 33 vid 12.01.2021. [Basic component of preschool education (State standard of preschool education): New edition. Order of the Ministry of Education and Science of Ukraine No. 33 dated 12.01.2021]. </w:t>
      </w:r>
      <w:hyperlink r:id="rId46" w:tgtFrame="_blank" w:history="1">
        <w:r w:rsidRPr="00CF16DD">
          <w:rPr>
            <w:rStyle w:val="a3"/>
            <w:sz w:val="28"/>
            <w:szCs w:val="28"/>
          </w:rPr>
          <w:t>https://mon.gov.ua/storage/app/media/rizne/2021/12.01/Pro_novu_redaktsiyu%20Bazovoho%20komponenta%20doshkilnoyi%20osvity.pdf</w:t>
        </w:r>
      </w:hyperlink>
      <w:r w:rsidRPr="00CF16DD">
        <w:rPr>
          <w:sz w:val="28"/>
          <w:szCs w:val="28"/>
        </w:rPr>
        <w:t xml:space="preserve"> </w:t>
      </w:r>
      <w:r w:rsidRPr="00CF16DD">
        <w:rPr>
          <w:color w:val="000000"/>
          <w:sz w:val="28"/>
          <w:szCs w:val="28"/>
          <w:shd w:val="clear" w:color="auto" w:fill="FFFFFF"/>
        </w:rPr>
        <w:t>[in Ukrainian].</w:t>
      </w:r>
    </w:p>
    <w:p w:rsidR="00CF16DD" w:rsidRPr="00CF16DD" w:rsidRDefault="00CF16DD" w:rsidP="00CF16DD">
      <w:pPr>
        <w:pStyle w:val="a4"/>
        <w:numPr>
          <w:ilvl w:val="0"/>
          <w:numId w:val="7"/>
        </w:numPr>
        <w:spacing w:before="0" w:beforeAutospacing="0" w:after="0" w:afterAutospacing="0" w:line="360" w:lineRule="auto"/>
        <w:ind w:left="0" w:firstLine="709"/>
        <w:jc w:val="both"/>
        <w:rPr>
          <w:sz w:val="28"/>
          <w:szCs w:val="28"/>
        </w:rPr>
      </w:pPr>
      <w:r w:rsidRPr="00CF16DD">
        <w:rPr>
          <w:sz w:val="28"/>
          <w:szCs w:val="28"/>
        </w:rPr>
        <w:t xml:space="preserve">Dobosh, O., &amp; Pinzenyk, O. (2025). Upravlinska efektyvnist i metodychna maisternist: Novi oriientyry dlia udoskonalennia osvitnoho protsesu ZDO [Managerial efficiency and methodological mastery: New guidelines for improving the educational process in preschool institutions]. </w:t>
      </w:r>
      <w:r w:rsidRPr="00CF16DD">
        <w:rPr>
          <w:rStyle w:val="a5"/>
          <w:sz w:val="28"/>
          <w:szCs w:val="28"/>
        </w:rPr>
        <w:t>Naukovyi visnyk Uzhhorodskoho universytetu. Seriia: Pedahohika. Sotsialna robota, 5</w:t>
      </w:r>
      <w:r w:rsidR="00E265A4">
        <w:rPr>
          <w:rStyle w:val="a5"/>
          <w:sz w:val="28"/>
          <w:szCs w:val="28"/>
        </w:rPr>
        <w:t>7 (2)</w:t>
      </w:r>
      <w:r w:rsidRPr="00CF16DD">
        <w:rPr>
          <w:sz w:val="28"/>
          <w:szCs w:val="28"/>
        </w:rPr>
        <w:t xml:space="preserve">, </w:t>
      </w:r>
      <w:r w:rsidR="00E265A4">
        <w:rPr>
          <w:sz w:val="28"/>
          <w:szCs w:val="28"/>
        </w:rPr>
        <w:t>67</w:t>
      </w:r>
      <w:r w:rsidRPr="00CF16DD">
        <w:rPr>
          <w:sz w:val="28"/>
          <w:szCs w:val="28"/>
        </w:rPr>
        <w:t>–</w:t>
      </w:r>
      <w:r w:rsidR="00E265A4">
        <w:rPr>
          <w:sz w:val="28"/>
          <w:szCs w:val="28"/>
        </w:rPr>
        <w:t>72</w:t>
      </w:r>
      <w:r w:rsidRPr="00CF16DD">
        <w:rPr>
          <w:sz w:val="28"/>
          <w:szCs w:val="28"/>
        </w:rPr>
        <w:t xml:space="preserve">. </w:t>
      </w:r>
      <w:hyperlink r:id="rId47" w:tgtFrame="_blank" w:history="1">
        <w:r w:rsidRPr="00CF16DD">
          <w:rPr>
            <w:rStyle w:val="a3"/>
            <w:sz w:val="28"/>
            <w:szCs w:val="28"/>
          </w:rPr>
          <w:t>http://visnyk-ped.uzhnu.edu.ua/article/view/342675</w:t>
        </w:r>
      </w:hyperlink>
      <w:r w:rsidRPr="00CF16DD">
        <w:rPr>
          <w:sz w:val="28"/>
          <w:szCs w:val="28"/>
        </w:rPr>
        <w:t xml:space="preserve"> </w:t>
      </w:r>
      <w:r w:rsidRPr="00CF16DD">
        <w:rPr>
          <w:color w:val="000000"/>
          <w:sz w:val="28"/>
          <w:szCs w:val="28"/>
          <w:shd w:val="clear" w:color="auto" w:fill="FFFFFF"/>
        </w:rPr>
        <w:t>[in Ukrainian].</w:t>
      </w:r>
    </w:p>
    <w:p w:rsidR="00CF16DD" w:rsidRPr="00CF16DD" w:rsidRDefault="00CF16DD" w:rsidP="00CF16DD">
      <w:pPr>
        <w:pStyle w:val="a4"/>
        <w:numPr>
          <w:ilvl w:val="0"/>
          <w:numId w:val="7"/>
        </w:numPr>
        <w:spacing w:before="0" w:beforeAutospacing="0" w:after="0" w:afterAutospacing="0" w:line="360" w:lineRule="auto"/>
        <w:ind w:left="0" w:firstLine="709"/>
        <w:jc w:val="both"/>
        <w:rPr>
          <w:sz w:val="28"/>
          <w:szCs w:val="28"/>
        </w:rPr>
      </w:pPr>
      <w:r w:rsidRPr="00CF16DD">
        <w:rPr>
          <w:sz w:val="28"/>
          <w:szCs w:val="28"/>
        </w:rPr>
        <w:t xml:space="preserve">Mahisterska robota. (2023–2024). Orhanizatsiia naukovo-metodychnoi diialnosti v ZDO [Organization of scientific and methodological activities in preschool institutions]. NaUrok. </w:t>
      </w:r>
      <w:hyperlink r:id="rId48" w:tgtFrame="_blank" w:history="1">
        <w:r w:rsidRPr="00CF16DD">
          <w:rPr>
            <w:rStyle w:val="a3"/>
            <w:sz w:val="28"/>
            <w:szCs w:val="28"/>
          </w:rPr>
          <w:t>https://naurok.com.ua/magisterska-robota-na-temu-organizaciya-naukovo-metodichno-diyalnosti-v-zakladidoshkilno-osviti-171245.html</w:t>
        </w:r>
      </w:hyperlink>
      <w:r w:rsidRPr="00CF16DD">
        <w:rPr>
          <w:sz w:val="28"/>
          <w:szCs w:val="28"/>
        </w:rPr>
        <w:t xml:space="preserve"> </w:t>
      </w:r>
      <w:r w:rsidRPr="00CF16DD">
        <w:rPr>
          <w:color w:val="000000"/>
          <w:sz w:val="28"/>
          <w:szCs w:val="28"/>
          <w:shd w:val="clear" w:color="auto" w:fill="FFFFFF"/>
        </w:rPr>
        <w:t>[in Ukrainian].</w:t>
      </w:r>
    </w:p>
    <w:p w:rsidR="00CF16DD" w:rsidRPr="00CF16DD" w:rsidRDefault="00CF16DD" w:rsidP="00CF16DD">
      <w:pPr>
        <w:pStyle w:val="a4"/>
        <w:numPr>
          <w:ilvl w:val="0"/>
          <w:numId w:val="7"/>
        </w:numPr>
        <w:spacing w:before="0" w:beforeAutospacing="0" w:after="0" w:afterAutospacing="0" w:line="360" w:lineRule="auto"/>
        <w:ind w:left="0" w:firstLine="709"/>
        <w:jc w:val="both"/>
        <w:rPr>
          <w:sz w:val="28"/>
          <w:szCs w:val="28"/>
        </w:rPr>
      </w:pPr>
      <w:r w:rsidRPr="00CF16DD">
        <w:rPr>
          <w:sz w:val="28"/>
          <w:szCs w:val="28"/>
        </w:rPr>
        <w:t xml:space="preserve">Nikolenko, I. A. (2025). Orhanizatsiino-metodychni umovy efektyvnoi diialnosti v inkliuzyvnykh hrupakh ZDO [Organizational and methodological conditions for effective activities in inclusive groups of preschool institutions]. </w:t>
      </w:r>
      <w:r w:rsidRPr="00CF16DD">
        <w:rPr>
          <w:rStyle w:val="a5"/>
          <w:sz w:val="28"/>
          <w:szCs w:val="28"/>
        </w:rPr>
        <w:t>Pedahohichna Akademiia: Naukovi zapysky, 16</w:t>
      </w:r>
      <w:r w:rsidRPr="00CF16DD">
        <w:rPr>
          <w:sz w:val="28"/>
          <w:szCs w:val="28"/>
        </w:rPr>
        <w:t xml:space="preserve">. </w:t>
      </w:r>
      <w:hyperlink r:id="rId49" w:tgtFrame="_blank" w:history="1">
        <w:r w:rsidRPr="00CF16DD">
          <w:rPr>
            <w:rStyle w:val="a3"/>
            <w:sz w:val="28"/>
            <w:szCs w:val="28"/>
          </w:rPr>
          <w:t>https://pedagogical-academy.com/index.php/journal/article/view/816</w:t>
        </w:r>
      </w:hyperlink>
      <w:r w:rsidRPr="00CF16DD">
        <w:rPr>
          <w:sz w:val="28"/>
          <w:szCs w:val="28"/>
        </w:rPr>
        <w:t xml:space="preserve"> </w:t>
      </w:r>
      <w:r w:rsidRPr="00CF16DD">
        <w:rPr>
          <w:color w:val="000000"/>
          <w:sz w:val="28"/>
          <w:szCs w:val="28"/>
          <w:shd w:val="clear" w:color="auto" w:fill="FFFFFF"/>
        </w:rPr>
        <w:t>[in Ukrainian].</w:t>
      </w:r>
    </w:p>
    <w:p w:rsidR="00CF16DD" w:rsidRPr="00CF16DD" w:rsidRDefault="00CF16DD" w:rsidP="00CF16DD">
      <w:pPr>
        <w:pStyle w:val="a4"/>
        <w:numPr>
          <w:ilvl w:val="0"/>
          <w:numId w:val="7"/>
        </w:numPr>
        <w:spacing w:before="0" w:beforeAutospacing="0" w:after="0" w:afterAutospacing="0" w:line="360" w:lineRule="auto"/>
        <w:ind w:left="0" w:firstLine="709"/>
        <w:jc w:val="both"/>
        <w:rPr>
          <w:sz w:val="28"/>
          <w:szCs w:val="28"/>
        </w:rPr>
      </w:pPr>
      <w:r w:rsidRPr="00CF16DD">
        <w:rPr>
          <w:sz w:val="28"/>
          <w:szCs w:val="28"/>
        </w:rPr>
        <w:t xml:space="preserve">Fasolko, T. S., Oliinyk, H. I., &amp; Horshkova, H. V. (2024). Stvorennia bezpechnoho ta zdorovoho osvitnoho seredovyshcha v zakladakh doshkilnoi osvity [Creating a safe and healthy educational environment in preschool institutions]. </w:t>
      </w:r>
      <w:r w:rsidRPr="00CF16DD">
        <w:rPr>
          <w:rStyle w:val="a5"/>
          <w:sz w:val="28"/>
          <w:szCs w:val="28"/>
        </w:rPr>
        <w:t>Pedahohichna Akademiia: Naukovi zapysky, 8</w:t>
      </w:r>
      <w:r w:rsidRPr="00CF16DD">
        <w:rPr>
          <w:sz w:val="28"/>
          <w:szCs w:val="28"/>
        </w:rPr>
        <w:t xml:space="preserve">. </w:t>
      </w:r>
      <w:hyperlink r:id="rId50" w:tgtFrame="_blank" w:history="1">
        <w:r w:rsidRPr="00CF16DD">
          <w:rPr>
            <w:rStyle w:val="a3"/>
            <w:sz w:val="28"/>
            <w:szCs w:val="28"/>
          </w:rPr>
          <w:t>https://pedagogical-academy.com/index.php/journal/article/view/166</w:t>
        </w:r>
      </w:hyperlink>
      <w:r w:rsidRPr="00CF16DD">
        <w:rPr>
          <w:sz w:val="28"/>
          <w:szCs w:val="28"/>
        </w:rPr>
        <w:t xml:space="preserve"> </w:t>
      </w:r>
      <w:r w:rsidRPr="00CF16DD">
        <w:rPr>
          <w:color w:val="000000"/>
          <w:sz w:val="28"/>
          <w:szCs w:val="28"/>
          <w:shd w:val="clear" w:color="auto" w:fill="FFFFFF"/>
        </w:rPr>
        <w:t>[in Ukrainian].</w:t>
      </w:r>
    </w:p>
    <w:p w:rsidR="00CF16DD" w:rsidRPr="00CF16DD" w:rsidRDefault="00CF16DD" w:rsidP="00CF16DD">
      <w:pPr>
        <w:pStyle w:val="a4"/>
        <w:spacing w:before="0" w:beforeAutospacing="0" w:after="0" w:afterAutospacing="0" w:line="360" w:lineRule="auto"/>
        <w:ind w:firstLine="709"/>
        <w:jc w:val="both"/>
        <w:rPr>
          <w:sz w:val="28"/>
          <w:szCs w:val="28"/>
        </w:rPr>
      </w:pPr>
    </w:p>
    <w:p w:rsidR="00CF16DD" w:rsidRDefault="00CF16DD" w:rsidP="00CF16DD">
      <w:pPr>
        <w:spacing w:after="0" w:line="360" w:lineRule="auto"/>
        <w:ind w:firstLine="709"/>
        <w:jc w:val="center"/>
        <w:rPr>
          <w:rFonts w:ascii="Times New Roman" w:hAnsi="Times New Roman" w:cs="Times New Roman"/>
          <w:sz w:val="28"/>
          <w:szCs w:val="28"/>
        </w:rPr>
      </w:pPr>
    </w:p>
    <w:tbl>
      <w:tblPr>
        <w:tblW w:w="9347" w:type="dxa"/>
        <w:tblInd w:w="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673"/>
        <w:gridCol w:w="4674"/>
      </w:tblGrid>
      <w:tr w:rsidR="00CB1759" w:rsidTr="000536C1">
        <w:trPr>
          <w:cantSplit/>
          <w:trHeight w:val="921"/>
          <w:tblHeader/>
        </w:trPr>
        <w:tc>
          <w:tcPr>
            <w:tcW w:w="4673" w:type="dxa"/>
          </w:tcPr>
          <w:p w:rsidR="00CB1759" w:rsidRDefault="00CB1759" w:rsidP="000536C1">
            <w:pPr>
              <w:pStyle w:val="normal"/>
              <w:pBdr>
                <w:top w:val="nil"/>
                <w:left w:val="nil"/>
                <w:bottom w:val="nil"/>
                <w:right w:val="nil"/>
                <w:between w:val="nil"/>
              </w:pBdr>
              <w:spacing w:line="315" w:lineRule="auto"/>
              <w:ind w:left="107"/>
              <w:rPr>
                <w:color w:val="000000"/>
                <w:sz w:val="28"/>
                <w:szCs w:val="28"/>
              </w:rPr>
            </w:pPr>
            <w:r>
              <w:rPr>
                <w:color w:val="000000"/>
                <w:sz w:val="28"/>
                <w:szCs w:val="28"/>
              </w:rPr>
              <w:t>Прізвище, ім’я:</w:t>
            </w:r>
          </w:p>
          <w:p w:rsidR="00CB1759" w:rsidRDefault="00CB1759" w:rsidP="00CB1759">
            <w:pPr>
              <w:pStyle w:val="normal"/>
              <w:numPr>
                <w:ilvl w:val="0"/>
                <w:numId w:val="12"/>
              </w:numPr>
              <w:pBdr>
                <w:top w:val="nil"/>
                <w:left w:val="nil"/>
                <w:bottom w:val="nil"/>
                <w:right w:val="nil"/>
                <w:between w:val="nil"/>
              </w:pBdr>
              <w:tabs>
                <w:tab w:val="left" w:pos="272"/>
              </w:tabs>
              <w:spacing w:before="2" w:line="321" w:lineRule="auto"/>
              <w:ind w:left="272" w:hanging="165"/>
              <w:rPr>
                <w:color w:val="000000"/>
                <w:sz w:val="28"/>
                <w:szCs w:val="28"/>
              </w:rPr>
            </w:pPr>
            <w:r>
              <w:rPr>
                <w:color w:val="000000"/>
                <w:sz w:val="24"/>
                <w:szCs w:val="24"/>
              </w:rPr>
              <w:t>українською мовою</w:t>
            </w:r>
          </w:p>
          <w:p w:rsidR="00CB1759" w:rsidRDefault="00CB1759" w:rsidP="00CB1759">
            <w:pPr>
              <w:pStyle w:val="normal"/>
              <w:numPr>
                <w:ilvl w:val="0"/>
                <w:numId w:val="12"/>
              </w:numPr>
              <w:pBdr>
                <w:top w:val="nil"/>
                <w:left w:val="nil"/>
                <w:bottom w:val="nil"/>
                <w:right w:val="nil"/>
                <w:between w:val="nil"/>
              </w:pBdr>
              <w:tabs>
                <w:tab w:val="left" w:pos="245"/>
              </w:tabs>
              <w:spacing w:line="263" w:lineRule="auto"/>
              <w:ind w:left="245" w:hanging="138"/>
              <w:rPr>
                <w:color w:val="000000"/>
                <w:sz w:val="24"/>
                <w:szCs w:val="24"/>
              </w:rPr>
            </w:pPr>
            <w:r>
              <w:rPr>
                <w:color w:val="000000"/>
                <w:sz w:val="24"/>
                <w:szCs w:val="24"/>
              </w:rPr>
              <w:t>англійською мовою</w:t>
            </w:r>
          </w:p>
        </w:tc>
        <w:tc>
          <w:tcPr>
            <w:tcW w:w="4674" w:type="dxa"/>
          </w:tcPr>
          <w:p w:rsidR="00CB1759" w:rsidRDefault="00CB1759" w:rsidP="000536C1">
            <w:pPr>
              <w:pStyle w:val="normal"/>
              <w:pBdr>
                <w:top w:val="nil"/>
                <w:left w:val="nil"/>
                <w:bottom w:val="nil"/>
                <w:right w:val="nil"/>
                <w:between w:val="nil"/>
              </w:pBdr>
              <w:rPr>
                <w:rFonts w:eastAsia="Calibri"/>
                <w:b/>
                <w:i/>
                <w:sz w:val="24"/>
                <w:szCs w:val="24"/>
                <w:lang w:val="en-US"/>
              </w:rPr>
            </w:pPr>
            <w:r>
              <w:rPr>
                <w:rFonts w:eastAsia="Calibri"/>
                <w:b/>
                <w:i/>
                <w:sz w:val="24"/>
                <w:szCs w:val="24"/>
              </w:rPr>
              <w:t>Кушнір Світлана Петрівна</w:t>
            </w:r>
          </w:p>
          <w:p w:rsidR="003D58D8" w:rsidRPr="003D58D8" w:rsidRDefault="003D58D8" w:rsidP="000536C1">
            <w:pPr>
              <w:pStyle w:val="normal"/>
              <w:pBdr>
                <w:top w:val="nil"/>
                <w:left w:val="nil"/>
                <w:bottom w:val="nil"/>
                <w:right w:val="nil"/>
                <w:between w:val="nil"/>
              </w:pBdr>
              <w:rPr>
                <w:rFonts w:eastAsia="Calibri"/>
                <w:b/>
                <w:i/>
                <w:sz w:val="24"/>
                <w:szCs w:val="24"/>
                <w:lang w:val="en-US"/>
              </w:rPr>
            </w:pPr>
          </w:p>
          <w:p w:rsidR="00CB1759" w:rsidRPr="00B74D81" w:rsidRDefault="00CB1759" w:rsidP="000536C1">
            <w:pPr>
              <w:pStyle w:val="normal"/>
              <w:pBdr>
                <w:top w:val="nil"/>
                <w:left w:val="nil"/>
                <w:bottom w:val="nil"/>
                <w:right w:val="nil"/>
                <w:between w:val="nil"/>
              </w:pBdr>
              <w:rPr>
                <w:color w:val="000000"/>
                <w:sz w:val="24"/>
                <w:szCs w:val="24"/>
              </w:rPr>
            </w:pPr>
            <w:r w:rsidRPr="00380A38">
              <w:rPr>
                <w:i/>
                <w:sz w:val="28"/>
                <w:szCs w:val="28"/>
              </w:rPr>
              <w:t>Kushnir Sv</w:t>
            </w:r>
            <w:r w:rsidRPr="00380A38">
              <w:rPr>
                <w:i/>
                <w:sz w:val="28"/>
                <w:szCs w:val="28"/>
                <w:lang w:val="en-US"/>
              </w:rPr>
              <w:t>i</w:t>
            </w:r>
            <w:r w:rsidRPr="00380A38">
              <w:rPr>
                <w:i/>
                <w:sz w:val="28"/>
                <w:szCs w:val="28"/>
              </w:rPr>
              <w:t>tlana</w:t>
            </w:r>
            <w:r w:rsidRPr="00B74D81">
              <w:rPr>
                <w:i/>
                <w:sz w:val="28"/>
                <w:szCs w:val="28"/>
              </w:rPr>
              <w:t xml:space="preserve"> </w:t>
            </w:r>
            <w:r w:rsidRPr="00380A38">
              <w:rPr>
                <w:i/>
                <w:sz w:val="28"/>
                <w:szCs w:val="28"/>
                <w:lang w:val="en-US"/>
              </w:rPr>
              <w:t>Petrivna</w:t>
            </w:r>
          </w:p>
        </w:tc>
      </w:tr>
      <w:tr w:rsidR="00782BCE" w:rsidTr="000536C1">
        <w:trPr>
          <w:cantSplit/>
          <w:trHeight w:val="921"/>
          <w:tblHeader/>
        </w:trPr>
        <w:tc>
          <w:tcPr>
            <w:tcW w:w="4673" w:type="dxa"/>
          </w:tcPr>
          <w:p w:rsidR="00782BCE" w:rsidRPr="00782BCE" w:rsidRDefault="00782BCE" w:rsidP="000536C1">
            <w:pPr>
              <w:pStyle w:val="normal"/>
              <w:pBdr>
                <w:top w:val="nil"/>
                <w:left w:val="nil"/>
                <w:bottom w:val="nil"/>
                <w:right w:val="nil"/>
                <w:between w:val="nil"/>
              </w:pBdr>
              <w:spacing w:line="315" w:lineRule="auto"/>
              <w:ind w:left="107"/>
              <w:rPr>
                <w:color w:val="000000"/>
                <w:sz w:val="28"/>
                <w:szCs w:val="28"/>
                <w:lang w:val="en-US"/>
              </w:rPr>
            </w:pPr>
            <w:r>
              <w:rPr>
                <w:color w:val="000000"/>
                <w:sz w:val="28"/>
                <w:szCs w:val="28"/>
              </w:rPr>
              <w:t xml:space="preserve">Код </w:t>
            </w:r>
            <w:r>
              <w:rPr>
                <w:color w:val="000000"/>
                <w:sz w:val="28"/>
                <w:szCs w:val="28"/>
                <w:lang w:val="en-US"/>
              </w:rPr>
              <w:t>O</w:t>
            </w:r>
            <w:r>
              <w:rPr>
                <w:color w:val="000000"/>
                <w:sz w:val="28"/>
                <w:szCs w:val="28"/>
              </w:rPr>
              <w:t>rcid</w:t>
            </w:r>
            <w:r>
              <w:rPr>
                <w:color w:val="000000"/>
                <w:sz w:val="28"/>
                <w:szCs w:val="28"/>
                <w:lang w:val="en-US"/>
              </w:rPr>
              <w:t xml:space="preserve"> </w:t>
            </w:r>
          </w:p>
        </w:tc>
        <w:tc>
          <w:tcPr>
            <w:tcW w:w="4674" w:type="dxa"/>
          </w:tcPr>
          <w:p w:rsidR="00782BCE" w:rsidRPr="00782BCE" w:rsidRDefault="00782BCE" w:rsidP="00782BCE">
            <w:pPr>
              <w:spacing w:after="0" w:line="360" w:lineRule="auto"/>
              <w:rPr>
                <w:rFonts w:ascii="Times New Roman" w:eastAsia="Calibri" w:hAnsi="Times New Roman" w:cs="Times New Roman"/>
                <w:i/>
                <w:sz w:val="24"/>
                <w:szCs w:val="24"/>
                <w:lang w:val="en-US"/>
              </w:rPr>
            </w:pPr>
            <w:hyperlink r:id="rId51" w:history="1">
              <w:r w:rsidRPr="00C125A9">
                <w:rPr>
                  <w:rStyle w:val="a3"/>
                  <w:rFonts w:eastAsia="Calibri"/>
                  <w:i/>
                  <w:sz w:val="24"/>
                  <w:szCs w:val="24"/>
                </w:rPr>
                <w:t>https://orcid.org/0000-0002-4267-8296</w:t>
              </w:r>
            </w:hyperlink>
          </w:p>
        </w:tc>
      </w:tr>
      <w:tr w:rsidR="00CB1759" w:rsidTr="000536C1">
        <w:trPr>
          <w:cantSplit/>
          <w:trHeight w:val="321"/>
          <w:tblHeader/>
        </w:trPr>
        <w:tc>
          <w:tcPr>
            <w:tcW w:w="4673" w:type="dxa"/>
          </w:tcPr>
          <w:p w:rsidR="00CB1759" w:rsidRDefault="00CB1759" w:rsidP="000536C1">
            <w:pPr>
              <w:pStyle w:val="normal"/>
              <w:pBdr>
                <w:top w:val="nil"/>
                <w:left w:val="nil"/>
                <w:bottom w:val="nil"/>
                <w:right w:val="nil"/>
                <w:between w:val="nil"/>
              </w:pBdr>
              <w:spacing w:line="301" w:lineRule="auto"/>
              <w:ind w:left="107"/>
              <w:rPr>
                <w:color w:val="000000"/>
                <w:sz w:val="28"/>
                <w:szCs w:val="28"/>
              </w:rPr>
            </w:pPr>
            <w:r>
              <w:rPr>
                <w:color w:val="000000"/>
                <w:sz w:val="28"/>
                <w:szCs w:val="28"/>
              </w:rPr>
              <w:t>Науковий ступінь:</w:t>
            </w:r>
          </w:p>
        </w:tc>
        <w:tc>
          <w:tcPr>
            <w:tcW w:w="4674" w:type="dxa"/>
          </w:tcPr>
          <w:p w:rsidR="00CB1759" w:rsidRPr="00B74D81" w:rsidRDefault="00CB1759" w:rsidP="000536C1">
            <w:pPr>
              <w:spacing w:after="0" w:line="360" w:lineRule="auto"/>
              <w:rPr>
                <w:rFonts w:ascii="Times New Roman" w:eastAsia="Calibri" w:hAnsi="Times New Roman" w:cs="Times New Roman"/>
                <w:bCs/>
                <w:i/>
                <w:sz w:val="24"/>
                <w:szCs w:val="24"/>
              </w:rPr>
            </w:pPr>
            <w:r>
              <w:rPr>
                <w:rFonts w:ascii="Times New Roman" w:eastAsia="Calibri" w:hAnsi="Times New Roman" w:cs="Times New Roman"/>
                <w:bCs/>
                <w:i/>
                <w:sz w:val="24"/>
                <w:szCs w:val="24"/>
              </w:rPr>
              <w:t>кандидат педагогічних наук,</w:t>
            </w:r>
          </w:p>
        </w:tc>
      </w:tr>
      <w:tr w:rsidR="00CB1759" w:rsidTr="000536C1">
        <w:trPr>
          <w:cantSplit/>
          <w:trHeight w:val="321"/>
          <w:tblHeader/>
        </w:trPr>
        <w:tc>
          <w:tcPr>
            <w:tcW w:w="4673" w:type="dxa"/>
          </w:tcPr>
          <w:p w:rsidR="00CB1759" w:rsidRDefault="00CB1759" w:rsidP="000536C1">
            <w:pPr>
              <w:pStyle w:val="normal"/>
              <w:pBdr>
                <w:top w:val="nil"/>
                <w:left w:val="nil"/>
                <w:bottom w:val="nil"/>
                <w:right w:val="nil"/>
                <w:between w:val="nil"/>
              </w:pBdr>
              <w:spacing w:line="301" w:lineRule="auto"/>
              <w:ind w:left="107"/>
              <w:rPr>
                <w:color w:val="000000"/>
                <w:sz w:val="28"/>
                <w:szCs w:val="28"/>
              </w:rPr>
            </w:pPr>
            <w:r>
              <w:rPr>
                <w:color w:val="000000"/>
                <w:sz w:val="28"/>
                <w:szCs w:val="28"/>
              </w:rPr>
              <w:t>Вчене звання:</w:t>
            </w:r>
          </w:p>
        </w:tc>
        <w:tc>
          <w:tcPr>
            <w:tcW w:w="4674" w:type="dxa"/>
          </w:tcPr>
          <w:p w:rsidR="00CB1759" w:rsidRDefault="00CB1759" w:rsidP="000536C1">
            <w:pPr>
              <w:pStyle w:val="normal"/>
              <w:pBdr>
                <w:top w:val="nil"/>
                <w:left w:val="nil"/>
                <w:bottom w:val="nil"/>
                <w:right w:val="nil"/>
                <w:between w:val="nil"/>
              </w:pBdr>
              <w:rPr>
                <w:color w:val="000000"/>
                <w:sz w:val="24"/>
                <w:szCs w:val="24"/>
              </w:rPr>
            </w:pPr>
            <w:r>
              <w:rPr>
                <w:rFonts w:eastAsia="Calibri"/>
                <w:bCs/>
                <w:i/>
                <w:sz w:val="24"/>
                <w:szCs w:val="24"/>
              </w:rPr>
              <w:t>доцент,</w:t>
            </w:r>
          </w:p>
        </w:tc>
      </w:tr>
      <w:tr w:rsidR="00CB1759" w:rsidTr="000536C1">
        <w:trPr>
          <w:cantSplit/>
          <w:trHeight w:val="645"/>
          <w:tblHeader/>
        </w:trPr>
        <w:tc>
          <w:tcPr>
            <w:tcW w:w="4673" w:type="dxa"/>
          </w:tcPr>
          <w:p w:rsidR="00CB1759" w:rsidRDefault="00CB1759" w:rsidP="000536C1">
            <w:pPr>
              <w:pStyle w:val="normal"/>
              <w:pBdr>
                <w:top w:val="nil"/>
                <w:left w:val="nil"/>
                <w:bottom w:val="nil"/>
                <w:right w:val="nil"/>
                <w:between w:val="nil"/>
              </w:pBdr>
              <w:spacing w:line="317" w:lineRule="auto"/>
              <w:ind w:left="107"/>
              <w:rPr>
                <w:color w:val="000000"/>
                <w:sz w:val="28"/>
                <w:szCs w:val="28"/>
              </w:rPr>
            </w:pPr>
            <w:r>
              <w:rPr>
                <w:color w:val="000000"/>
                <w:sz w:val="28"/>
                <w:szCs w:val="28"/>
              </w:rPr>
              <w:t>Місце роботи (навчання - для</w:t>
            </w:r>
          </w:p>
          <w:p w:rsidR="00CB1759" w:rsidRDefault="00CB1759" w:rsidP="000536C1">
            <w:pPr>
              <w:pStyle w:val="normal"/>
              <w:pBdr>
                <w:top w:val="nil"/>
                <w:left w:val="nil"/>
                <w:bottom w:val="nil"/>
                <w:right w:val="nil"/>
                <w:between w:val="nil"/>
              </w:pBdr>
              <w:spacing w:line="308" w:lineRule="auto"/>
              <w:ind w:left="107"/>
              <w:rPr>
                <w:color w:val="000000"/>
                <w:sz w:val="28"/>
                <w:szCs w:val="28"/>
              </w:rPr>
            </w:pPr>
            <w:r>
              <w:rPr>
                <w:color w:val="000000"/>
                <w:sz w:val="28"/>
                <w:szCs w:val="28"/>
              </w:rPr>
              <w:t>здобувачів освіти):</w:t>
            </w:r>
          </w:p>
        </w:tc>
        <w:tc>
          <w:tcPr>
            <w:tcW w:w="4674" w:type="dxa"/>
          </w:tcPr>
          <w:p w:rsidR="00CB1759" w:rsidRDefault="00CB1759" w:rsidP="000536C1">
            <w:pPr>
              <w:spacing w:after="0" w:line="360" w:lineRule="auto"/>
              <w:rPr>
                <w:rFonts w:ascii="Times New Roman" w:eastAsia="Calibri" w:hAnsi="Times New Roman" w:cs="Times New Roman"/>
                <w:i/>
                <w:sz w:val="24"/>
                <w:szCs w:val="24"/>
              </w:rPr>
            </w:pPr>
            <w:r>
              <w:rPr>
                <w:rFonts w:ascii="Times New Roman" w:eastAsia="Calibri" w:hAnsi="Times New Roman" w:cs="Times New Roman"/>
                <w:i/>
                <w:sz w:val="24"/>
                <w:szCs w:val="24"/>
              </w:rPr>
              <w:t xml:space="preserve">Харківського національного педагогічного </w:t>
            </w:r>
          </w:p>
          <w:p w:rsidR="00CB1759" w:rsidRPr="005B3DD2" w:rsidRDefault="00CB1759" w:rsidP="000536C1">
            <w:pPr>
              <w:spacing w:after="0" w:line="360" w:lineRule="auto"/>
              <w:rPr>
                <w:rFonts w:ascii="Times New Roman" w:eastAsia="Calibri" w:hAnsi="Times New Roman" w:cs="Times New Roman"/>
                <w:i/>
                <w:sz w:val="24"/>
                <w:szCs w:val="24"/>
              </w:rPr>
            </w:pPr>
            <w:r>
              <w:rPr>
                <w:rFonts w:ascii="Times New Roman" w:eastAsia="Calibri" w:hAnsi="Times New Roman" w:cs="Times New Roman"/>
                <w:i/>
                <w:sz w:val="24"/>
                <w:szCs w:val="24"/>
              </w:rPr>
              <w:t>університету імені Г.С.Сковороди</w:t>
            </w:r>
            <w:r w:rsidRPr="007616DA">
              <w:rPr>
                <w:rFonts w:ascii="Times New Roman" w:eastAsia="Calibri" w:hAnsi="Times New Roman" w:cs="Times New Roman"/>
                <w:i/>
                <w:sz w:val="24"/>
                <w:szCs w:val="24"/>
              </w:rPr>
              <w:t xml:space="preserve">, </w:t>
            </w:r>
          </w:p>
          <w:p w:rsidR="00CB1759" w:rsidRPr="00B74D81" w:rsidRDefault="00CB1759" w:rsidP="000536C1">
            <w:pPr>
              <w:pStyle w:val="normal"/>
              <w:pBdr>
                <w:top w:val="nil"/>
                <w:left w:val="nil"/>
                <w:bottom w:val="nil"/>
                <w:right w:val="nil"/>
                <w:between w:val="nil"/>
              </w:pBdr>
              <w:rPr>
                <w:color w:val="000000"/>
                <w:sz w:val="24"/>
                <w:szCs w:val="24"/>
              </w:rPr>
            </w:pPr>
            <w:r w:rsidRPr="007616DA">
              <w:rPr>
                <w:rFonts w:eastAsia="Calibri"/>
                <w:i/>
                <w:sz w:val="24"/>
                <w:szCs w:val="24"/>
              </w:rPr>
              <w:t>Місто</w:t>
            </w:r>
            <w:r>
              <w:rPr>
                <w:rFonts w:eastAsia="Calibri"/>
                <w:i/>
                <w:sz w:val="24"/>
                <w:szCs w:val="24"/>
              </w:rPr>
              <w:t xml:space="preserve"> Харків</w:t>
            </w:r>
            <w:r w:rsidRPr="007616DA">
              <w:rPr>
                <w:rFonts w:eastAsia="Calibri"/>
                <w:i/>
                <w:sz w:val="24"/>
                <w:szCs w:val="24"/>
              </w:rPr>
              <w:t>,</w:t>
            </w:r>
            <w:r>
              <w:rPr>
                <w:rFonts w:eastAsia="Calibri"/>
                <w:i/>
                <w:sz w:val="24"/>
                <w:szCs w:val="24"/>
              </w:rPr>
              <w:t>Україна</w:t>
            </w:r>
          </w:p>
        </w:tc>
      </w:tr>
      <w:tr w:rsidR="00CB1759" w:rsidTr="000536C1">
        <w:trPr>
          <w:cantSplit/>
          <w:trHeight w:val="321"/>
          <w:tblHeader/>
        </w:trPr>
        <w:tc>
          <w:tcPr>
            <w:tcW w:w="4673" w:type="dxa"/>
          </w:tcPr>
          <w:p w:rsidR="00CB1759" w:rsidRDefault="00CB1759" w:rsidP="000536C1">
            <w:pPr>
              <w:pStyle w:val="normal"/>
              <w:pBdr>
                <w:top w:val="nil"/>
                <w:left w:val="nil"/>
                <w:bottom w:val="nil"/>
                <w:right w:val="nil"/>
                <w:between w:val="nil"/>
              </w:pBdr>
              <w:spacing w:line="301" w:lineRule="auto"/>
              <w:ind w:left="107"/>
              <w:rPr>
                <w:color w:val="000000"/>
                <w:sz w:val="28"/>
                <w:szCs w:val="28"/>
              </w:rPr>
            </w:pPr>
            <w:r>
              <w:rPr>
                <w:color w:val="000000"/>
                <w:sz w:val="28"/>
                <w:szCs w:val="28"/>
              </w:rPr>
              <w:t>Посада:</w:t>
            </w:r>
          </w:p>
        </w:tc>
        <w:tc>
          <w:tcPr>
            <w:tcW w:w="4674" w:type="dxa"/>
          </w:tcPr>
          <w:p w:rsidR="00CB1759" w:rsidRDefault="00CB1759" w:rsidP="000536C1">
            <w:pPr>
              <w:spacing w:after="0" w:line="360" w:lineRule="auto"/>
              <w:rPr>
                <w:rFonts w:ascii="Times New Roman" w:eastAsia="Calibri" w:hAnsi="Times New Roman" w:cs="Times New Roman"/>
                <w:bCs/>
                <w:i/>
                <w:sz w:val="24"/>
                <w:szCs w:val="24"/>
              </w:rPr>
            </w:pPr>
            <w:r>
              <w:rPr>
                <w:rFonts w:ascii="Times New Roman" w:eastAsia="Calibri" w:hAnsi="Times New Roman" w:cs="Times New Roman"/>
                <w:bCs/>
                <w:i/>
                <w:sz w:val="24"/>
                <w:szCs w:val="24"/>
              </w:rPr>
              <w:t xml:space="preserve">доцент кафедри технологій дистанційного навчання </w:t>
            </w:r>
          </w:p>
          <w:p w:rsidR="00CB1759" w:rsidRPr="00B74D81" w:rsidRDefault="00CB1759" w:rsidP="000536C1">
            <w:pPr>
              <w:spacing w:after="0" w:line="360" w:lineRule="auto"/>
              <w:rPr>
                <w:rFonts w:ascii="Times New Roman" w:eastAsia="Calibri" w:hAnsi="Times New Roman" w:cs="Times New Roman"/>
                <w:i/>
                <w:sz w:val="24"/>
                <w:szCs w:val="24"/>
              </w:rPr>
            </w:pPr>
            <w:r>
              <w:rPr>
                <w:rFonts w:ascii="Times New Roman" w:eastAsia="Calibri" w:hAnsi="Times New Roman" w:cs="Times New Roman"/>
                <w:bCs/>
                <w:i/>
                <w:sz w:val="24"/>
                <w:szCs w:val="24"/>
              </w:rPr>
              <w:t>та цифрової дидактики в дошкільній освіті</w:t>
            </w:r>
            <w:r w:rsidRPr="005B3DD2">
              <w:rPr>
                <w:rFonts w:ascii="Times New Roman" w:eastAsia="Calibri" w:hAnsi="Times New Roman" w:cs="Times New Roman"/>
                <w:i/>
                <w:sz w:val="24"/>
                <w:szCs w:val="24"/>
              </w:rPr>
              <w:t>,</w:t>
            </w:r>
          </w:p>
        </w:tc>
      </w:tr>
      <w:tr w:rsidR="00CB1759" w:rsidTr="000536C1">
        <w:trPr>
          <w:cantSplit/>
          <w:trHeight w:val="321"/>
          <w:tblHeader/>
        </w:trPr>
        <w:tc>
          <w:tcPr>
            <w:tcW w:w="4673" w:type="dxa"/>
          </w:tcPr>
          <w:p w:rsidR="00CB1759" w:rsidRDefault="00CB1759" w:rsidP="000536C1">
            <w:pPr>
              <w:pStyle w:val="normal"/>
              <w:pBdr>
                <w:top w:val="nil"/>
                <w:left w:val="nil"/>
                <w:bottom w:val="nil"/>
                <w:right w:val="nil"/>
                <w:between w:val="nil"/>
              </w:pBdr>
              <w:spacing w:line="301" w:lineRule="auto"/>
              <w:ind w:left="107"/>
              <w:rPr>
                <w:color w:val="000000"/>
                <w:sz w:val="28"/>
                <w:szCs w:val="28"/>
              </w:rPr>
            </w:pPr>
            <w:r>
              <w:rPr>
                <w:color w:val="000000"/>
                <w:sz w:val="28"/>
                <w:szCs w:val="28"/>
              </w:rPr>
              <w:t>Електронна пошта:</w:t>
            </w:r>
          </w:p>
        </w:tc>
        <w:tc>
          <w:tcPr>
            <w:tcW w:w="4674" w:type="dxa"/>
          </w:tcPr>
          <w:p w:rsidR="00CB1759" w:rsidRDefault="00CB1759" w:rsidP="000536C1">
            <w:pPr>
              <w:pStyle w:val="normal"/>
              <w:pBdr>
                <w:top w:val="nil"/>
                <w:left w:val="nil"/>
                <w:bottom w:val="nil"/>
                <w:right w:val="nil"/>
                <w:between w:val="nil"/>
              </w:pBdr>
              <w:rPr>
                <w:color w:val="000000"/>
                <w:sz w:val="24"/>
                <w:szCs w:val="24"/>
              </w:rPr>
            </w:pPr>
            <w:r>
              <w:rPr>
                <w:rFonts w:eastAsia="Calibri"/>
                <w:i/>
                <w:sz w:val="24"/>
                <w:szCs w:val="24"/>
              </w:rPr>
              <w:t xml:space="preserve">E-mail: </w:t>
            </w:r>
            <w:hyperlink r:id="rId52" w:history="1">
              <w:r w:rsidRPr="00380A38">
                <w:rPr>
                  <w:rStyle w:val="a3"/>
                  <w:rFonts w:ascii="Roboto" w:hAnsi="Roboto"/>
                  <w:sz w:val="28"/>
                  <w:szCs w:val="28"/>
                  <w:shd w:val="clear" w:color="auto" w:fill="E9EEF6"/>
                </w:rPr>
                <w:t>kushnirsvitlana@hnpu.edu.ua</w:t>
              </w:r>
            </w:hyperlink>
          </w:p>
        </w:tc>
      </w:tr>
      <w:tr w:rsidR="00CB1759" w:rsidTr="000536C1">
        <w:trPr>
          <w:cantSplit/>
          <w:trHeight w:val="321"/>
          <w:tblHeader/>
        </w:trPr>
        <w:tc>
          <w:tcPr>
            <w:tcW w:w="4673" w:type="dxa"/>
          </w:tcPr>
          <w:p w:rsidR="00CB1759" w:rsidRDefault="00CB1759" w:rsidP="000536C1">
            <w:pPr>
              <w:pStyle w:val="normal"/>
              <w:pBdr>
                <w:top w:val="nil"/>
                <w:left w:val="nil"/>
                <w:bottom w:val="nil"/>
                <w:right w:val="nil"/>
                <w:between w:val="nil"/>
              </w:pBdr>
              <w:spacing w:line="301" w:lineRule="auto"/>
              <w:ind w:left="107"/>
              <w:rPr>
                <w:color w:val="000000"/>
                <w:sz w:val="28"/>
                <w:szCs w:val="28"/>
              </w:rPr>
            </w:pPr>
            <w:r>
              <w:rPr>
                <w:color w:val="000000"/>
                <w:sz w:val="28"/>
                <w:szCs w:val="28"/>
              </w:rPr>
              <w:t>Телефон:</w:t>
            </w:r>
          </w:p>
        </w:tc>
        <w:tc>
          <w:tcPr>
            <w:tcW w:w="4674" w:type="dxa"/>
          </w:tcPr>
          <w:p w:rsidR="00CB1759" w:rsidRDefault="00CB1759" w:rsidP="000536C1">
            <w:pPr>
              <w:spacing w:after="0" w:line="360" w:lineRule="auto"/>
              <w:rPr>
                <w:rFonts w:ascii="Times New Roman" w:eastAsia="Calibri" w:hAnsi="Times New Roman" w:cs="Times New Roman"/>
                <w:i/>
                <w:sz w:val="24"/>
                <w:szCs w:val="24"/>
              </w:rPr>
            </w:pPr>
            <w:r>
              <w:rPr>
                <w:rFonts w:ascii="Times New Roman" w:eastAsia="Calibri" w:hAnsi="Times New Roman" w:cs="Times New Roman"/>
                <w:i/>
                <w:sz w:val="24"/>
                <w:szCs w:val="24"/>
              </w:rPr>
              <w:t>Тел..0992499128</w:t>
            </w:r>
          </w:p>
          <w:p w:rsidR="00CB1759" w:rsidRDefault="00CB1759" w:rsidP="000536C1">
            <w:pPr>
              <w:pStyle w:val="normal"/>
              <w:pBdr>
                <w:top w:val="nil"/>
                <w:left w:val="nil"/>
                <w:bottom w:val="nil"/>
                <w:right w:val="nil"/>
                <w:between w:val="nil"/>
              </w:pBdr>
              <w:rPr>
                <w:color w:val="000000"/>
                <w:sz w:val="24"/>
                <w:szCs w:val="24"/>
              </w:rPr>
            </w:pPr>
          </w:p>
        </w:tc>
      </w:tr>
    </w:tbl>
    <w:p w:rsidR="00DD5985" w:rsidRPr="00CF16DD" w:rsidRDefault="00DD5985" w:rsidP="00CF16DD">
      <w:pPr>
        <w:jc w:val="center"/>
        <w:rPr>
          <w:rFonts w:ascii="Times New Roman" w:hAnsi="Times New Roman" w:cs="Times New Roman"/>
          <w:sz w:val="28"/>
          <w:szCs w:val="28"/>
        </w:rPr>
      </w:pPr>
    </w:p>
    <w:sectPr w:rsidR="00DD5985" w:rsidRPr="00CF16DD" w:rsidSect="00555982">
      <w:pgSz w:w="11906" w:h="16838"/>
      <w:pgMar w:top="1134" w:right="1134"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Roboto">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D59A4"/>
    <w:multiLevelType w:val="multilevel"/>
    <w:tmpl w:val="83340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3738B0"/>
    <w:multiLevelType w:val="hybridMultilevel"/>
    <w:tmpl w:val="0F0EF954"/>
    <w:lvl w:ilvl="0" w:tplc="CD804852">
      <w:start w:val="1"/>
      <w:numFmt w:val="decimal"/>
      <w:lvlText w:val="%1."/>
      <w:lvlJc w:val="left"/>
      <w:pPr>
        <w:ind w:left="1699" w:hanging="990"/>
      </w:pPr>
      <w:rPr>
        <w:rFonts w:ascii="Times New Roman" w:eastAsia="Times New Roman" w:hAnsi="Times New Roman" w:cs="Times New Roman"/>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1A2F33A7"/>
    <w:multiLevelType w:val="hybridMultilevel"/>
    <w:tmpl w:val="681A2970"/>
    <w:lvl w:ilvl="0" w:tplc="9954B3DA">
      <w:start w:val="1"/>
      <w:numFmt w:val="decimal"/>
      <w:lvlText w:val="%1."/>
      <w:lvlJc w:val="left"/>
      <w:pPr>
        <w:ind w:left="1699" w:hanging="99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nsid w:val="41470202"/>
    <w:multiLevelType w:val="multilevel"/>
    <w:tmpl w:val="6E7291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DD3D86"/>
    <w:multiLevelType w:val="multilevel"/>
    <w:tmpl w:val="ECAE64CC"/>
    <w:lvl w:ilvl="0">
      <w:numFmt w:val="bullet"/>
      <w:lvlText w:val="-"/>
      <w:lvlJc w:val="left"/>
      <w:pPr>
        <w:ind w:left="273" w:hanging="166"/>
      </w:pPr>
      <w:rPr>
        <w:rFonts w:ascii="Times New Roman" w:eastAsia="Times New Roman" w:hAnsi="Times New Roman" w:cs="Times New Roman"/>
      </w:rPr>
    </w:lvl>
    <w:lvl w:ilvl="1">
      <w:numFmt w:val="bullet"/>
      <w:lvlText w:val="•"/>
      <w:lvlJc w:val="left"/>
      <w:pPr>
        <w:ind w:left="718" w:hanging="166"/>
      </w:pPr>
    </w:lvl>
    <w:lvl w:ilvl="2">
      <w:numFmt w:val="bullet"/>
      <w:lvlText w:val="•"/>
      <w:lvlJc w:val="left"/>
      <w:pPr>
        <w:ind w:left="1156" w:hanging="166"/>
      </w:pPr>
    </w:lvl>
    <w:lvl w:ilvl="3">
      <w:numFmt w:val="bullet"/>
      <w:lvlText w:val="•"/>
      <w:lvlJc w:val="left"/>
      <w:pPr>
        <w:ind w:left="1594" w:hanging="166"/>
      </w:pPr>
    </w:lvl>
    <w:lvl w:ilvl="4">
      <w:numFmt w:val="bullet"/>
      <w:lvlText w:val="•"/>
      <w:lvlJc w:val="left"/>
      <w:pPr>
        <w:ind w:left="2033" w:hanging="165"/>
      </w:pPr>
    </w:lvl>
    <w:lvl w:ilvl="5">
      <w:numFmt w:val="bullet"/>
      <w:lvlText w:val="•"/>
      <w:lvlJc w:val="left"/>
      <w:pPr>
        <w:ind w:left="2471" w:hanging="166"/>
      </w:pPr>
    </w:lvl>
    <w:lvl w:ilvl="6">
      <w:numFmt w:val="bullet"/>
      <w:lvlText w:val="•"/>
      <w:lvlJc w:val="left"/>
      <w:pPr>
        <w:ind w:left="2909" w:hanging="166"/>
      </w:pPr>
    </w:lvl>
    <w:lvl w:ilvl="7">
      <w:numFmt w:val="bullet"/>
      <w:lvlText w:val="•"/>
      <w:lvlJc w:val="left"/>
      <w:pPr>
        <w:ind w:left="3348" w:hanging="166"/>
      </w:pPr>
    </w:lvl>
    <w:lvl w:ilvl="8">
      <w:numFmt w:val="bullet"/>
      <w:lvlText w:val="•"/>
      <w:lvlJc w:val="left"/>
      <w:pPr>
        <w:ind w:left="3786" w:hanging="166"/>
      </w:pPr>
    </w:lvl>
  </w:abstractNum>
  <w:abstractNum w:abstractNumId="5">
    <w:nsid w:val="4DE163F4"/>
    <w:multiLevelType w:val="multilevel"/>
    <w:tmpl w:val="9BDA9C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9F96001"/>
    <w:multiLevelType w:val="multilevel"/>
    <w:tmpl w:val="BE3237E0"/>
    <w:lvl w:ilvl="0">
      <w:numFmt w:val="bullet"/>
      <w:lvlText w:val="-"/>
      <w:lvlJc w:val="left"/>
      <w:pPr>
        <w:ind w:left="273" w:hanging="166"/>
      </w:pPr>
      <w:rPr>
        <w:rFonts w:ascii="Times New Roman" w:eastAsia="Times New Roman" w:hAnsi="Times New Roman" w:cs="Times New Roman"/>
      </w:rPr>
    </w:lvl>
    <w:lvl w:ilvl="1">
      <w:numFmt w:val="bullet"/>
      <w:lvlText w:val="•"/>
      <w:lvlJc w:val="left"/>
      <w:pPr>
        <w:ind w:left="718" w:hanging="166"/>
      </w:pPr>
    </w:lvl>
    <w:lvl w:ilvl="2">
      <w:numFmt w:val="bullet"/>
      <w:lvlText w:val="•"/>
      <w:lvlJc w:val="left"/>
      <w:pPr>
        <w:ind w:left="1156" w:hanging="166"/>
      </w:pPr>
    </w:lvl>
    <w:lvl w:ilvl="3">
      <w:numFmt w:val="bullet"/>
      <w:lvlText w:val="•"/>
      <w:lvlJc w:val="left"/>
      <w:pPr>
        <w:ind w:left="1594" w:hanging="166"/>
      </w:pPr>
    </w:lvl>
    <w:lvl w:ilvl="4">
      <w:numFmt w:val="bullet"/>
      <w:lvlText w:val="•"/>
      <w:lvlJc w:val="left"/>
      <w:pPr>
        <w:ind w:left="2033" w:hanging="165"/>
      </w:pPr>
    </w:lvl>
    <w:lvl w:ilvl="5">
      <w:numFmt w:val="bullet"/>
      <w:lvlText w:val="•"/>
      <w:lvlJc w:val="left"/>
      <w:pPr>
        <w:ind w:left="2471" w:hanging="166"/>
      </w:pPr>
    </w:lvl>
    <w:lvl w:ilvl="6">
      <w:numFmt w:val="bullet"/>
      <w:lvlText w:val="•"/>
      <w:lvlJc w:val="left"/>
      <w:pPr>
        <w:ind w:left="2909" w:hanging="166"/>
      </w:pPr>
    </w:lvl>
    <w:lvl w:ilvl="7">
      <w:numFmt w:val="bullet"/>
      <w:lvlText w:val="•"/>
      <w:lvlJc w:val="left"/>
      <w:pPr>
        <w:ind w:left="3348" w:hanging="166"/>
      </w:pPr>
    </w:lvl>
    <w:lvl w:ilvl="8">
      <w:numFmt w:val="bullet"/>
      <w:lvlText w:val="•"/>
      <w:lvlJc w:val="left"/>
      <w:pPr>
        <w:ind w:left="3786" w:hanging="166"/>
      </w:pPr>
    </w:lvl>
  </w:abstractNum>
  <w:abstractNum w:abstractNumId="7">
    <w:nsid w:val="5F730C77"/>
    <w:multiLevelType w:val="hybridMultilevel"/>
    <w:tmpl w:val="CFF6B2F6"/>
    <w:lvl w:ilvl="0" w:tplc="9954B3DA">
      <w:start w:val="1"/>
      <w:numFmt w:val="decimal"/>
      <w:lvlText w:val="%1."/>
      <w:lvlJc w:val="left"/>
      <w:pPr>
        <w:ind w:left="1699" w:hanging="99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6584372D"/>
    <w:multiLevelType w:val="multilevel"/>
    <w:tmpl w:val="E8AEF6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77479E7"/>
    <w:multiLevelType w:val="hybridMultilevel"/>
    <w:tmpl w:val="D4B22FE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7CDC47EA"/>
    <w:multiLevelType w:val="multilevel"/>
    <w:tmpl w:val="4508A070"/>
    <w:lvl w:ilvl="0">
      <w:numFmt w:val="bullet"/>
      <w:lvlText w:val="-"/>
      <w:lvlJc w:val="left"/>
      <w:pPr>
        <w:ind w:left="247" w:hanging="140"/>
      </w:pPr>
      <w:rPr>
        <w:rFonts w:ascii="Times New Roman" w:eastAsia="Times New Roman" w:hAnsi="Times New Roman" w:cs="Times New Roman"/>
        <w:b w:val="0"/>
        <w:i w:val="0"/>
        <w:sz w:val="24"/>
        <w:szCs w:val="24"/>
      </w:rPr>
    </w:lvl>
    <w:lvl w:ilvl="1">
      <w:numFmt w:val="bullet"/>
      <w:lvlText w:val="•"/>
      <w:lvlJc w:val="left"/>
      <w:pPr>
        <w:ind w:left="682" w:hanging="140"/>
      </w:pPr>
    </w:lvl>
    <w:lvl w:ilvl="2">
      <w:numFmt w:val="bullet"/>
      <w:lvlText w:val="•"/>
      <w:lvlJc w:val="left"/>
      <w:pPr>
        <w:ind w:left="1124" w:hanging="140"/>
      </w:pPr>
    </w:lvl>
    <w:lvl w:ilvl="3">
      <w:numFmt w:val="bullet"/>
      <w:lvlText w:val="•"/>
      <w:lvlJc w:val="left"/>
      <w:pPr>
        <w:ind w:left="1566" w:hanging="140"/>
      </w:pPr>
    </w:lvl>
    <w:lvl w:ilvl="4">
      <w:numFmt w:val="bullet"/>
      <w:lvlText w:val="•"/>
      <w:lvlJc w:val="left"/>
      <w:pPr>
        <w:ind w:left="2009" w:hanging="140"/>
      </w:pPr>
    </w:lvl>
    <w:lvl w:ilvl="5">
      <w:numFmt w:val="bullet"/>
      <w:lvlText w:val="•"/>
      <w:lvlJc w:val="left"/>
      <w:pPr>
        <w:ind w:left="2451" w:hanging="140"/>
      </w:pPr>
    </w:lvl>
    <w:lvl w:ilvl="6">
      <w:numFmt w:val="bullet"/>
      <w:lvlText w:val="•"/>
      <w:lvlJc w:val="left"/>
      <w:pPr>
        <w:ind w:left="2893" w:hanging="140"/>
      </w:pPr>
    </w:lvl>
    <w:lvl w:ilvl="7">
      <w:numFmt w:val="bullet"/>
      <w:lvlText w:val="•"/>
      <w:lvlJc w:val="left"/>
      <w:pPr>
        <w:ind w:left="3336" w:hanging="140"/>
      </w:pPr>
    </w:lvl>
    <w:lvl w:ilvl="8">
      <w:numFmt w:val="bullet"/>
      <w:lvlText w:val="•"/>
      <w:lvlJc w:val="left"/>
      <w:pPr>
        <w:ind w:left="3778" w:hanging="140"/>
      </w:pPr>
    </w:lvl>
  </w:abstractNum>
  <w:abstractNum w:abstractNumId="11">
    <w:nsid w:val="7F757EE6"/>
    <w:multiLevelType w:val="multilevel"/>
    <w:tmpl w:val="9BB875D4"/>
    <w:lvl w:ilvl="0">
      <w:numFmt w:val="bullet"/>
      <w:lvlText w:val="-"/>
      <w:lvlJc w:val="left"/>
      <w:pPr>
        <w:ind w:left="273" w:hanging="166"/>
      </w:pPr>
      <w:rPr>
        <w:rFonts w:ascii="Times New Roman" w:eastAsia="Times New Roman" w:hAnsi="Times New Roman" w:cs="Times New Roman"/>
      </w:rPr>
    </w:lvl>
    <w:lvl w:ilvl="1">
      <w:numFmt w:val="bullet"/>
      <w:lvlText w:val="•"/>
      <w:lvlJc w:val="left"/>
      <w:pPr>
        <w:ind w:left="718" w:hanging="166"/>
      </w:pPr>
    </w:lvl>
    <w:lvl w:ilvl="2">
      <w:numFmt w:val="bullet"/>
      <w:lvlText w:val="•"/>
      <w:lvlJc w:val="left"/>
      <w:pPr>
        <w:ind w:left="1156" w:hanging="166"/>
      </w:pPr>
    </w:lvl>
    <w:lvl w:ilvl="3">
      <w:numFmt w:val="bullet"/>
      <w:lvlText w:val="•"/>
      <w:lvlJc w:val="left"/>
      <w:pPr>
        <w:ind w:left="1594" w:hanging="166"/>
      </w:pPr>
    </w:lvl>
    <w:lvl w:ilvl="4">
      <w:numFmt w:val="bullet"/>
      <w:lvlText w:val="•"/>
      <w:lvlJc w:val="left"/>
      <w:pPr>
        <w:ind w:left="2033" w:hanging="165"/>
      </w:pPr>
    </w:lvl>
    <w:lvl w:ilvl="5">
      <w:numFmt w:val="bullet"/>
      <w:lvlText w:val="•"/>
      <w:lvlJc w:val="left"/>
      <w:pPr>
        <w:ind w:left="2471" w:hanging="166"/>
      </w:pPr>
    </w:lvl>
    <w:lvl w:ilvl="6">
      <w:numFmt w:val="bullet"/>
      <w:lvlText w:val="•"/>
      <w:lvlJc w:val="left"/>
      <w:pPr>
        <w:ind w:left="2909" w:hanging="166"/>
      </w:pPr>
    </w:lvl>
    <w:lvl w:ilvl="7">
      <w:numFmt w:val="bullet"/>
      <w:lvlText w:val="•"/>
      <w:lvlJc w:val="left"/>
      <w:pPr>
        <w:ind w:left="3348" w:hanging="166"/>
      </w:pPr>
    </w:lvl>
    <w:lvl w:ilvl="8">
      <w:numFmt w:val="bullet"/>
      <w:lvlText w:val="•"/>
      <w:lvlJc w:val="left"/>
      <w:pPr>
        <w:ind w:left="3786" w:hanging="166"/>
      </w:pPr>
    </w:lvl>
  </w:abstractNum>
  <w:num w:numId="1">
    <w:abstractNumId w:val="0"/>
  </w:num>
  <w:num w:numId="2">
    <w:abstractNumId w:val="3"/>
  </w:num>
  <w:num w:numId="3">
    <w:abstractNumId w:val="9"/>
  </w:num>
  <w:num w:numId="4">
    <w:abstractNumId w:val="2"/>
  </w:num>
  <w:num w:numId="5">
    <w:abstractNumId w:val="5"/>
  </w:num>
  <w:num w:numId="6">
    <w:abstractNumId w:val="7"/>
  </w:num>
  <w:num w:numId="7">
    <w:abstractNumId w:val="1"/>
  </w:num>
  <w:num w:numId="8">
    <w:abstractNumId w:val="8"/>
  </w:num>
  <w:num w:numId="9">
    <w:abstractNumId w:val="11"/>
  </w:num>
  <w:num w:numId="10">
    <w:abstractNumId w:val="6"/>
  </w:num>
  <w:num w:numId="11">
    <w:abstractNumId w:val="10"/>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useFELayout/>
  </w:compat>
  <w:rsids>
    <w:rsidRoot w:val="00555982"/>
    <w:rsid w:val="00020516"/>
    <w:rsid w:val="00063573"/>
    <w:rsid w:val="00067829"/>
    <w:rsid w:val="00075D5E"/>
    <w:rsid w:val="000B1889"/>
    <w:rsid w:val="000C27F6"/>
    <w:rsid w:val="002A4D99"/>
    <w:rsid w:val="002E5F1B"/>
    <w:rsid w:val="00341F59"/>
    <w:rsid w:val="003815BA"/>
    <w:rsid w:val="003D58D8"/>
    <w:rsid w:val="00545E3D"/>
    <w:rsid w:val="00555982"/>
    <w:rsid w:val="005C6C55"/>
    <w:rsid w:val="005E1C7F"/>
    <w:rsid w:val="00750442"/>
    <w:rsid w:val="00782BCE"/>
    <w:rsid w:val="007F27A8"/>
    <w:rsid w:val="0080372D"/>
    <w:rsid w:val="00861703"/>
    <w:rsid w:val="009A1E59"/>
    <w:rsid w:val="009C6EC7"/>
    <w:rsid w:val="009E09F1"/>
    <w:rsid w:val="009E5EF7"/>
    <w:rsid w:val="00A32E3B"/>
    <w:rsid w:val="00A57291"/>
    <w:rsid w:val="00B3103D"/>
    <w:rsid w:val="00C55DCB"/>
    <w:rsid w:val="00C77066"/>
    <w:rsid w:val="00C945EE"/>
    <w:rsid w:val="00CB1759"/>
    <w:rsid w:val="00CC631F"/>
    <w:rsid w:val="00CF16DD"/>
    <w:rsid w:val="00D261F9"/>
    <w:rsid w:val="00D35C98"/>
    <w:rsid w:val="00D63046"/>
    <w:rsid w:val="00DC795B"/>
    <w:rsid w:val="00DD5985"/>
    <w:rsid w:val="00E265A4"/>
    <w:rsid w:val="00E33718"/>
    <w:rsid w:val="00E66606"/>
    <w:rsid w:val="00EA07E7"/>
    <w:rsid w:val="00F56B48"/>
    <w:rsid w:val="00F8554D"/>
    <w:rsid w:val="00FC5879"/>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A4D9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9E09F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F56B48"/>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55982"/>
    <w:rPr>
      <w:color w:val="0000FF"/>
      <w:u w:val="single"/>
    </w:rPr>
  </w:style>
  <w:style w:type="paragraph" w:styleId="a4">
    <w:name w:val="Normal (Web)"/>
    <w:basedOn w:val="a"/>
    <w:uiPriority w:val="99"/>
    <w:unhideWhenUsed/>
    <w:rsid w:val="00FC587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2A4D99"/>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semiHidden/>
    <w:rsid w:val="009E09F1"/>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F56B48"/>
    <w:rPr>
      <w:rFonts w:asciiTheme="majorHAnsi" w:eastAsiaTheme="majorEastAsia" w:hAnsiTheme="majorHAnsi" w:cstheme="majorBidi"/>
      <w:b/>
      <w:bCs/>
      <w:color w:val="4F81BD" w:themeColor="accent1"/>
    </w:rPr>
  </w:style>
  <w:style w:type="character" w:styleId="a5">
    <w:name w:val="Emphasis"/>
    <w:basedOn w:val="a0"/>
    <w:uiPriority w:val="20"/>
    <w:qFormat/>
    <w:rsid w:val="00F56B48"/>
    <w:rPr>
      <w:i/>
      <w:iCs/>
    </w:rPr>
  </w:style>
  <w:style w:type="character" w:styleId="a6">
    <w:name w:val="FollowedHyperlink"/>
    <w:basedOn w:val="a0"/>
    <w:uiPriority w:val="99"/>
    <w:semiHidden/>
    <w:unhideWhenUsed/>
    <w:rsid w:val="00750442"/>
    <w:rPr>
      <w:color w:val="800080" w:themeColor="followedHyperlink"/>
      <w:u w:val="single"/>
    </w:rPr>
  </w:style>
  <w:style w:type="paragraph" w:styleId="a7">
    <w:name w:val="List Paragraph"/>
    <w:basedOn w:val="a"/>
    <w:uiPriority w:val="34"/>
    <w:qFormat/>
    <w:rsid w:val="00861703"/>
    <w:pPr>
      <w:ind w:left="720"/>
      <w:contextualSpacing/>
    </w:pPr>
  </w:style>
  <w:style w:type="character" w:styleId="a8">
    <w:name w:val="Strong"/>
    <w:basedOn w:val="a0"/>
    <w:uiPriority w:val="22"/>
    <w:qFormat/>
    <w:rsid w:val="005E1C7F"/>
    <w:rPr>
      <w:b/>
      <w:bCs/>
    </w:rPr>
  </w:style>
  <w:style w:type="paragraph" w:customStyle="1" w:styleId="normal">
    <w:name w:val="normal"/>
    <w:rsid w:val="00CB1759"/>
    <w:pPr>
      <w:widowControl w:val="0"/>
      <w:spacing w:after="0" w:line="240" w:lineRule="auto"/>
    </w:pPr>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58793664">
      <w:bodyDiv w:val="1"/>
      <w:marLeft w:val="0"/>
      <w:marRight w:val="0"/>
      <w:marTop w:val="0"/>
      <w:marBottom w:val="0"/>
      <w:divBdr>
        <w:top w:val="none" w:sz="0" w:space="0" w:color="auto"/>
        <w:left w:val="none" w:sz="0" w:space="0" w:color="auto"/>
        <w:bottom w:val="none" w:sz="0" w:space="0" w:color="auto"/>
        <w:right w:val="none" w:sz="0" w:space="0" w:color="auto"/>
      </w:divBdr>
    </w:div>
    <w:div w:id="117989219">
      <w:bodyDiv w:val="1"/>
      <w:marLeft w:val="0"/>
      <w:marRight w:val="0"/>
      <w:marTop w:val="0"/>
      <w:marBottom w:val="0"/>
      <w:divBdr>
        <w:top w:val="none" w:sz="0" w:space="0" w:color="auto"/>
        <w:left w:val="none" w:sz="0" w:space="0" w:color="auto"/>
        <w:bottom w:val="none" w:sz="0" w:space="0" w:color="auto"/>
        <w:right w:val="none" w:sz="0" w:space="0" w:color="auto"/>
      </w:divBdr>
    </w:div>
    <w:div w:id="166213201">
      <w:bodyDiv w:val="1"/>
      <w:marLeft w:val="0"/>
      <w:marRight w:val="0"/>
      <w:marTop w:val="0"/>
      <w:marBottom w:val="0"/>
      <w:divBdr>
        <w:top w:val="none" w:sz="0" w:space="0" w:color="auto"/>
        <w:left w:val="none" w:sz="0" w:space="0" w:color="auto"/>
        <w:bottom w:val="none" w:sz="0" w:space="0" w:color="auto"/>
        <w:right w:val="none" w:sz="0" w:space="0" w:color="auto"/>
      </w:divBdr>
    </w:div>
    <w:div w:id="223957615">
      <w:bodyDiv w:val="1"/>
      <w:marLeft w:val="0"/>
      <w:marRight w:val="0"/>
      <w:marTop w:val="0"/>
      <w:marBottom w:val="0"/>
      <w:divBdr>
        <w:top w:val="none" w:sz="0" w:space="0" w:color="auto"/>
        <w:left w:val="none" w:sz="0" w:space="0" w:color="auto"/>
        <w:bottom w:val="none" w:sz="0" w:space="0" w:color="auto"/>
        <w:right w:val="none" w:sz="0" w:space="0" w:color="auto"/>
      </w:divBdr>
    </w:div>
    <w:div w:id="275411779">
      <w:bodyDiv w:val="1"/>
      <w:marLeft w:val="0"/>
      <w:marRight w:val="0"/>
      <w:marTop w:val="0"/>
      <w:marBottom w:val="0"/>
      <w:divBdr>
        <w:top w:val="none" w:sz="0" w:space="0" w:color="auto"/>
        <w:left w:val="none" w:sz="0" w:space="0" w:color="auto"/>
        <w:bottom w:val="none" w:sz="0" w:space="0" w:color="auto"/>
        <w:right w:val="none" w:sz="0" w:space="0" w:color="auto"/>
      </w:divBdr>
    </w:div>
    <w:div w:id="292904555">
      <w:bodyDiv w:val="1"/>
      <w:marLeft w:val="0"/>
      <w:marRight w:val="0"/>
      <w:marTop w:val="0"/>
      <w:marBottom w:val="0"/>
      <w:divBdr>
        <w:top w:val="none" w:sz="0" w:space="0" w:color="auto"/>
        <w:left w:val="none" w:sz="0" w:space="0" w:color="auto"/>
        <w:bottom w:val="none" w:sz="0" w:space="0" w:color="auto"/>
        <w:right w:val="none" w:sz="0" w:space="0" w:color="auto"/>
      </w:divBdr>
    </w:div>
    <w:div w:id="324600070">
      <w:bodyDiv w:val="1"/>
      <w:marLeft w:val="0"/>
      <w:marRight w:val="0"/>
      <w:marTop w:val="0"/>
      <w:marBottom w:val="0"/>
      <w:divBdr>
        <w:top w:val="none" w:sz="0" w:space="0" w:color="auto"/>
        <w:left w:val="none" w:sz="0" w:space="0" w:color="auto"/>
        <w:bottom w:val="none" w:sz="0" w:space="0" w:color="auto"/>
        <w:right w:val="none" w:sz="0" w:space="0" w:color="auto"/>
      </w:divBdr>
    </w:div>
    <w:div w:id="406004252">
      <w:bodyDiv w:val="1"/>
      <w:marLeft w:val="0"/>
      <w:marRight w:val="0"/>
      <w:marTop w:val="0"/>
      <w:marBottom w:val="0"/>
      <w:divBdr>
        <w:top w:val="none" w:sz="0" w:space="0" w:color="auto"/>
        <w:left w:val="none" w:sz="0" w:space="0" w:color="auto"/>
        <w:bottom w:val="none" w:sz="0" w:space="0" w:color="auto"/>
        <w:right w:val="none" w:sz="0" w:space="0" w:color="auto"/>
      </w:divBdr>
      <w:divsChild>
        <w:div w:id="61952350">
          <w:marLeft w:val="0"/>
          <w:marRight w:val="0"/>
          <w:marTop w:val="0"/>
          <w:marBottom w:val="0"/>
          <w:divBdr>
            <w:top w:val="none" w:sz="0" w:space="0" w:color="auto"/>
            <w:left w:val="none" w:sz="0" w:space="0" w:color="auto"/>
            <w:bottom w:val="none" w:sz="0" w:space="0" w:color="auto"/>
            <w:right w:val="none" w:sz="0" w:space="0" w:color="auto"/>
          </w:divBdr>
          <w:divsChild>
            <w:div w:id="180750924">
              <w:marLeft w:val="0"/>
              <w:marRight w:val="0"/>
              <w:marTop w:val="0"/>
              <w:marBottom w:val="0"/>
              <w:divBdr>
                <w:top w:val="none" w:sz="0" w:space="0" w:color="auto"/>
                <w:left w:val="none" w:sz="0" w:space="0" w:color="auto"/>
                <w:bottom w:val="none" w:sz="0" w:space="0" w:color="auto"/>
                <w:right w:val="none" w:sz="0" w:space="0" w:color="auto"/>
              </w:divBdr>
              <w:divsChild>
                <w:div w:id="147806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831598">
      <w:bodyDiv w:val="1"/>
      <w:marLeft w:val="0"/>
      <w:marRight w:val="0"/>
      <w:marTop w:val="0"/>
      <w:marBottom w:val="0"/>
      <w:divBdr>
        <w:top w:val="none" w:sz="0" w:space="0" w:color="auto"/>
        <w:left w:val="none" w:sz="0" w:space="0" w:color="auto"/>
        <w:bottom w:val="none" w:sz="0" w:space="0" w:color="auto"/>
        <w:right w:val="none" w:sz="0" w:space="0" w:color="auto"/>
      </w:divBdr>
    </w:div>
    <w:div w:id="444737442">
      <w:bodyDiv w:val="1"/>
      <w:marLeft w:val="0"/>
      <w:marRight w:val="0"/>
      <w:marTop w:val="0"/>
      <w:marBottom w:val="0"/>
      <w:divBdr>
        <w:top w:val="none" w:sz="0" w:space="0" w:color="auto"/>
        <w:left w:val="none" w:sz="0" w:space="0" w:color="auto"/>
        <w:bottom w:val="none" w:sz="0" w:space="0" w:color="auto"/>
        <w:right w:val="none" w:sz="0" w:space="0" w:color="auto"/>
      </w:divBdr>
      <w:divsChild>
        <w:div w:id="672686184">
          <w:marLeft w:val="0"/>
          <w:marRight w:val="0"/>
          <w:marTop w:val="0"/>
          <w:marBottom w:val="0"/>
          <w:divBdr>
            <w:top w:val="none" w:sz="0" w:space="0" w:color="auto"/>
            <w:left w:val="none" w:sz="0" w:space="0" w:color="auto"/>
            <w:bottom w:val="none" w:sz="0" w:space="0" w:color="auto"/>
            <w:right w:val="none" w:sz="0" w:space="0" w:color="auto"/>
          </w:divBdr>
          <w:divsChild>
            <w:div w:id="48956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561466">
      <w:bodyDiv w:val="1"/>
      <w:marLeft w:val="0"/>
      <w:marRight w:val="0"/>
      <w:marTop w:val="0"/>
      <w:marBottom w:val="0"/>
      <w:divBdr>
        <w:top w:val="none" w:sz="0" w:space="0" w:color="auto"/>
        <w:left w:val="none" w:sz="0" w:space="0" w:color="auto"/>
        <w:bottom w:val="none" w:sz="0" w:space="0" w:color="auto"/>
        <w:right w:val="none" w:sz="0" w:space="0" w:color="auto"/>
      </w:divBdr>
    </w:div>
    <w:div w:id="833840557">
      <w:bodyDiv w:val="1"/>
      <w:marLeft w:val="0"/>
      <w:marRight w:val="0"/>
      <w:marTop w:val="0"/>
      <w:marBottom w:val="0"/>
      <w:divBdr>
        <w:top w:val="none" w:sz="0" w:space="0" w:color="auto"/>
        <w:left w:val="none" w:sz="0" w:space="0" w:color="auto"/>
        <w:bottom w:val="none" w:sz="0" w:space="0" w:color="auto"/>
        <w:right w:val="none" w:sz="0" w:space="0" w:color="auto"/>
      </w:divBdr>
    </w:div>
    <w:div w:id="1029456241">
      <w:bodyDiv w:val="1"/>
      <w:marLeft w:val="0"/>
      <w:marRight w:val="0"/>
      <w:marTop w:val="0"/>
      <w:marBottom w:val="0"/>
      <w:divBdr>
        <w:top w:val="none" w:sz="0" w:space="0" w:color="auto"/>
        <w:left w:val="none" w:sz="0" w:space="0" w:color="auto"/>
        <w:bottom w:val="none" w:sz="0" w:space="0" w:color="auto"/>
        <w:right w:val="none" w:sz="0" w:space="0" w:color="auto"/>
      </w:divBdr>
    </w:div>
    <w:div w:id="1077242004">
      <w:bodyDiv w:val="1"/>
      <w:marLeft w:val="0"/>
      <w:marRight w:val="0"/>
      <w:marTop w:val="0"/>
      <w:marBottom w:val="0"/>
      <w:divBdr>
        <w:top w:val="none" w:sz="0" w:space="0" w:color="auto"/>
        <w:left w:val="none" w:sz="0" w:space="0" w:color="auto"/>
        <w:bottom w:val="none" w:sz="0" w:space="0" w:color="auto"/>
        <w:right w:val="none" w:sz="0" w:space="0" w:color="auto"/>
      </w:divBdr>
    </w:div>
    <w:div w:id="1087069906">
      <w:bodyDiv w:val="1"/>
      <w:marLeft w:val="0"/>
      <w:marRight w:val="0"/>
      <w:marTop w:val="0"/>
      <w:marBottom w:val="0"/>
      <w:divBdr>
        <w:top w:val="none" w:sz="0" w:space="0" w:color="auto"/>
        <w:left w:val="none" w:sz="0" w:space="0" w:color="auto"/>
        <w:bottom w:val="none" w:sz="0" w:space="0" w:color="auto"/>
        <w:right w:val="none" w:sz="0" w:space="0" w:color="auto"/>
      </w:divBdr>
    </w:div>
    <w:div w:id="1506171336">
      <w:bodyDiv w:val="1"/>
      <w:marLeft w:val="0"/>
      <w:marRight w:val="0"/>
      <w:marTop w:val="0"/>
      <w:marBottom w:val="0"/>
      <w:divBdr>
        <w:top w:val="none" w:sz="0" w:space="0" w:color="auto"/>
        <w:left w:val="none" w:sz="0" w:space="0" w:color="auto"/>
        <w:bottom w:val="none" w:sz="0" w:space="0" w:color="auto"/>
        <w:right w:val="none" w:sz="0" w:space="0" w:color="auto"/>
      </w:divBdr>
    </w:div>
    <w:div w:id="1579170646">
      <w:bodyDiv w:val="1"/>
      <w:marLeft w:val="0"/>
      <w:marRight w:val="0"/>
      <w:marTop w:val="0"/>
      <w:marBottom w:val="0"/>
      <w:divBdr>
        <w:top w:val="none" w:sz="0" w:space="0" w:color="auto"/>
        <w:left w:val="none" w:sz="0" w:space="0" w:color="auto"/>
        <w:bottom w:val="none" w:sz="0" w:space="0" w:color="auto"/>
        <w:right w:val="none" w:sz="0" w:space="0" w:color="auto"/>
      </w:divBdr>
    </w:div>
    <w:div w:id="1579247825">
      <w:bodyDiv w:val="1"/>
      <w:marLeft w:val="0"/>
      <w:marRight w:val="0"/>
      <w:marTop w:val="0"/>
      <w:marBottom w:val="0"/>
      <w:divBdr>
        <w:top w:val="none" w:sz="0" w:space="0" w:color="auto"/>
        <w:left w:val="none" w:sz="0" w:space="0" w:color="auto"/>
        <w:bottom w:val="none" w:sz="0" w:space="0" w:color="auto"/>
        <w:right w:val="none" w:sz="0" w:space="0" w:color="auto"/>
      </w:divBdr>
    </w:div>
    <w:div w:id="1765029042">
      <w:bodyDiv w:val="1"/>
      <w:marLeft w:val="0"/>
      <w:marRight w:val="0"/>
      <w:marTop w:val="0"/>
      <w:marBottom w:val="0"/>
      <w:divBdr>
        <w:top w:val="none" w:sz="0" w:space="0" w:color="auto"/>
        <w:left w:val="none" w:sz="0" w:space="0" w:color="auto"/>
        <w:bottom w:val="none" w:sz="0" w:space="0" w:color="auto"/>
        <w:right w:val="none" w:sz="0" w:space="0" w:color="auto"/>
      </w:divBdr>
    </w:div>
    <w:div w:id="1776512391">
      <w:bodyDiv w:val="1"/>
      <w:marLeft w:val="0"/>
      <w:marRight w:val="0"/>
      <w:marTop w:val="0"/>
      <w:marBottom w:val="0"/>
      <w:divBdr>
        <w:top w:val="none" w:sz="0" w:space="0" w:color="auto"/>
        <w:left w:val="none" w:sz="0" w:space="0" w:color="auto"/>
        <w:bottom w:val="none" w:sz="0" w:space="0" w:color="auto"/>
        <w:right w:val="none" w:sz="0" w:space="0" w:color="auto"/>
      </w:divBdr>
    </w:div>
    <w:div w:id="1989244117">
      <w:bodyDiv w:val="1"/>
      <w:marLeft w:val="0"/>
      <w:marRight w:val="0"/>
      <w:marTop w:val="0"/>
      <w:marBottom w:val="0"/>
      <w:divBdr>
        <w:top w:val="none" w:sz="0" w:space="0" w:color="auto"/>
        <w:left w:val="none" w:sz="0" w:space="0" w:color="auto"/>
        <w:bottom w:val="none" w:sz="0" w:space="0" w:color="auto"/>
        <w:right w:val="none" w:sz="0" w:space="0" w:color="auto"/>
      </w:divBdr>
    </w:div>
    <w:div w:id="1991011768">
      <w:bodyDiv w:val="1"/>
      <w:marLeft w:val="0"/>
      <w:marRight w:val="0"/>
      <w:marTop w:val="0"/>
      <w:marBottom w:val="0"/>
      <w:divBdr>
        <w:top w:val="none" w:sz="0" w:space="0" w:color="auto"/>
        <w:left w:val="none" w:sz="0" w:space="0" w:color="auto"/>
        <w:bottom w:val="none" w:sz="0" w:space="0" w:color="auto"/>
        <w:right w:val="none" w:sz="0" w:space="0" w:color="auto"/>
      </w:divBdr>
    </w:div>
    <w:div w:id="2014842956">
      <w:bodyDiv w:val="1"/>
      <w:marLeft w:val="0"/>
      <w:marRight w:val="0"/>
      <w:marTop w:val="0"/>
      <w:marBottom w:val="0"/>
      <w:divBdr>
        <w:top w:val="none" w:sz="0" w:space="0" w:color="auto"/>
        <w:left w:val="none" w:sz="0" w:space="0" w:color="auto"/>
        <w:bottom w:val="none" w:sz="0" w:space="0" w:color="auto"/>
        <w:right w:val="none" w:sz="0" w:space="0" w:color="auto"/>
      </w:divBdr>
    </w:div>
    <w:div w:id="2071879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monoskop.org/File:Maturana_Humberto_R_Varela_Francisco_J_Autopoiesis_and_Cognition_The_Realization_of_the_Living.pdf" TargetMode="External"/><Relationship Id="rId18" Type="http://schemas.openxmlformats.org/officeDocument/2006/relationships/hyperlink" Target="https://www.reggiochildren.it/en/rc/publishing/books-and-audiovisuals/the-hundred-languages-of-children/" TargetMode="External"/><Relationship Id="rId26" Type="http://schemas.openxmlformats.org/officeDocument/2006/relationships/hyperlink" Target="https://naurok.com.ua/magisterska-robota-na-temu-organizaciya-naukovo-metodichno-diyalnosti-v-zakladidoshkilno-osviti-171245.html" TargetMode="External"/><Relationship Id="rId39" Type="http://schemas.openxmlformats.org/officeDocument/2006/relationships/hyperlink" Target="https://monoskop.org/File:Maturana_Humberto_R_Varela_Francisco_J_Autopoiesis_and_Cognition_The_Realization_of_the_Living.pdf" TargetMode="External"/><Relationship Id="rId3" Type="http://schemas.openxmlformats.org/officeDocument/2006/relationships/styles" Target="styles.xml"/><Relationship Id="rId21" Type="http://schemas.openxmlformats.org/officeDocument/2006/relationships/hyperlink" Target="https://www.nzcer.org.nz/nzcerpress/weaving-te-whariki-aotearoa-new-zealand-s-early-childhood-curriculum-document-theory-an-0" TargetMode="External"/><Relationship Id="rId34" Type="http://schemas.openxmlformats.org/officeDocument/2006/relationships/hyperlink" Target="https://www.researchgate.net/publication/377690016_Negotiated_Learning_Through_Design_Documentation_And_Discourse" TargetMode="External"/><Relationship Id="rId42" Type="http://schemas.openxmlformats.org/officeDocument/2006/relationships/hyperlink" Target="https://www.routledge.com/In-Dialogue-with-Reggio-Emilia-Listening-Researching-and-Learning/Rinaldi/p/book/9780367427047" TargetMode="External"/><Relationship Id="rId47" Type="http://schemas.openxmlformats.org/officeDocument/2006/relationships/hyperlink" Target="http://visnyk-ped.uzhnu.edu.ua/article/view/342675" TargetMode="External"/><Relationship Id="rId50" Type="http://schemas.openxmlformats.org/officeDocument/2006/relationships/hyperlink" Target="https://pedagogical-academy.com/index.php/journal/article/view/166" TargetMode="External"/><Relationship Id="rId7" Type="http://schemas.openxmlformats.org/officeDocument/2006/relationships/hyperlink" Target="https://archive.org/details/stepstoecologyof00bate" TargetMode="External"/><Relationship Id="rId12" Type="http://schemas.openxmlformats.org/officeDocument/2006/relationships/hyperlink" Target="https://archive.org/details/radicalconstruct0000glas" TargetMode="External"/><Relationship Id="rId17" Type="http://schemas.openxmlformats.org/officeDocument/2006/relationships/hyperlink" Target="https://archive.org/details/montessoriscienc00lill" TargetMode="External"/><Relationship Id="rId25" Type="http://schemas.openxmlformats.org/officeDocument/2006/relationships/hyperlink" Target="https://doi.org/10.24144/2524-0609.2025.57.67-72" TargetMode="External"/><Relationship Id="rId33" Type="http://schemas.openxmlformats.org/officeDocument/2006/relationships/hyperlink" Target="https://eric.ed.gov/?id=ED531297" TargetMode="External"/><Relationship Id="rId38" Type="http://schemas.openxmlformats.org/officeDocument/2006/relationships/hyperlink" Target="https://www.reggiochildren.it/en/rc/publishing/books-and-audiovisuals/the-hundred-languages-of-children/" TargetMode="External"/><Relationship Id="rId46" Type="http://schemas.openxmlformats.org/officeDocument/2006/relationships/hyperlink" Target="https://mon.gov.ua/storage/app/media/rizne/2021/12.01/Pro_novu_redaktsiyu%20Bazovoho%20komponenta%20doshkilnoyi%20osvity.pdf" TargetMode="External"/><Relationship Id="rId2" Type="http://schemas.openxmlformats.org/officeDocument/2006/relationships/numbering" Target="numbering.xml"/><Relationship Id="rId16" Type="http://schemas.openxmlformats.org/officeDocument/2006/relationships/hyperlink" Target="https://eric.ed.gov/?id=ED531297" TargetMode="External"/><Relationship Id="rId20" Type="http://schemas.openxmlformats.org/officeDocument/2006/relationships/hyperlink" Target="https://www.taylorfrancis.com/books/mono/10.4324/9781003116295/leadership-early-childhood-jillian-rodd" TargetMode="External"/><Relationship Id="rId29" Type="http://schemas.openxmlformats.org/officeDocument/2006/relationships/hyperlink" Target="https://archive.org/details/stepstoecologyof00bate" TargetMode="External"/><Relationship Id="rId41" Type="http://schemas.openxmlformats.org/officeDocument/2006/relationships/hyperlink" Target="https://www.oecd.org/content/dam/oecd/en/publications/reports/2020/09/education-at-a-glance-2020_19b01e87/69096873-en.pdf"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orcid.org/0000-0002-4267-8296" TargetMode="External"/><Relationship Id="rId11" Type="http://schemas.openxmlformats.org/officeDocument/2006/relationships/hyperlink" Target="https://link.springer.com/book/10.1007/b97451" TargetMode="External"/><Relationship Id="rId24" Type="http://schemas.openxmlformats.org/officeDocument/2006/relationships/hyperlink" Target="https://mon.gov.ua/storage/app/media/rizne/2021/12.01/Pro_novu_redaktsiyu%20Bazovoho%20komponenta%20doshkilnoyi%20osvity.pdf" TargetMode="External"/><Relationship Id="rId32" Type="http://schemas.openxmlformats.org/officeDocument/2006/relationships/hyperlink" Target="https://archive.org/details/experienceeducat00dewe_0" TargetMode="External"/><Relationship Id="rId37" Type="http://schemas.openxmlformats.org/officeDocument/2006/relationships/hyperlink" Target="https://archive.org/details/montessoriscienc00lill" TargetMode="External"/><Relationship Id="rId40" Type="http://schemas.openxmlformats.org/officeDocument/2006/relationships/hyperlink" Target="https://www.nzcer.org.nz/nzcerpress/weaving-te-whariki-aotearoa-new-zealand-s-early-childhood-curriculum-document-theory-an-0" TargetMode="External"/><Relationship Id="rId45" Type="http://schemas.openxmlformats.org/officeDocument/2006/relationships/hyperlink" Target="https://www.unicef.org/ukraine/media/53936/file/2025_Better%20Learning%20and%20Skills%20brief.pdf.pdf" TargetMode="External"/><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researchgate.net/publication/233061505_Distributed_Leadership" TargetMode="External"/><Relationship Id="rId23" Type="http://schemas.openxmlformats.org/officeDocument/2006/relationships/hyperlink" Target="https://www.unicef.org/ukraine/media/53936/file/2025_Better%20Learning%20and%20Skills%20brief.pdf.pdf" TargetMode="External"/><Relationship Id="rId28" Type="http://schemas.openxmlformats.org/officeDocument/2006/relationships/hyperlink" Target="https://pedagogical-academy.com/index.php/journal/article/view/166" TargetMode="External"/><Relationship Id="rId36" Type="http://schemas.openxmlformats.org/officeDocument/2006/relationships/hyperlink" Target="https://archive.org/details/radicalconstruct0000glas" TargetMode="External"/><Relationship Id="rId49" Type="http://schemas.openxmlformats.org/officeDocument/2006/relationships/hyperlink" Target="https://pedagogical-academy.com/index.php/journal/article/view/816" TargetMode="External"/><Relationship Id="rId10" Type="http://schemas.openxmlformats.org/officeDocument/2006/relationships/hyperlink" Target="https://archive.org/details/experienceeducat00dewe_0" TargetMode="External"/><Relationship Id="rId19" Type="http://schemas.openxmlformats.org/officeDocument/2006/relationships/hyperlink" Target="https://www.researchgate.net/publication/377690016_Negotiated_Learning_Through_Design_Documentation_And_Discourse" TargetMode="External"/><Relationship Id="rId31" Type="http://schemas.openxmlformats.org/officeDocument/2006/relationships/hyperlink" Target="https://www.gutenberg.org/ebooks/852" TargetMode="External"/><Relationship Id="rId44" Type="http://schemas.openxmlformats.org/officeDocument/2006/relationships/hyperlink" Target="https://www.researchgate.net/publication/233061505_Distributed_Leadership" TargetMode="External"/><Relationship Id="rId52" Type="http://schemas.openxmlformats.org/officeDocument/2006/relationships/hyperlink" Target="mailto:kushnirsvitlana@hnpu.edu.ua" TargetMode="External"/><Relationship Id="rId4" Type="http://schemas.openxmlformats.org/officeDocument/2006/relationships/settings" Target="settings.xml"/><Relationship Id="rId9" Type="http://schemas.openxmlformats.org/officeDocument/2006/relationships/hyperlink" Target="https://www.gutenberg.org/ebooks/852" TargetMode="External"/><Relationship Id="rId14" Type="http://schemas.openxmlformats.org/officeDocument/2006/relationships/hyperlink" Target="https://www.routledge.com/In-Dialogue-with-Reggio-Emilia-Listening-Researching-and-Learning/Rinaldi/p/book/9780367427047" TargetMode="External"/><Relationship Id="rId22" Type="http://schemas.openxmlformats.org/officeDocument/2006/relationships/hyperlink" Target="https://www.oecd.org/content/dam/oecd/en/publications/reports/2020/09/education-at-a-glance-2020_19b01e87/69096873-en.pdf" TargetMode="External"/><Relationship Id="rId27" Type="http://schemas.openxmlformats.org/officeDocument/2006/relationships/hyperlink" Target="https://pedagogical-academy.com/index.php/journal/article/view/816" TargetMode="External"/><Relationship Id="rId30" Type="http://schemas.openxmlformats.org/officeDocument/2006/relationships/hyperlink" Target="https://archive.org/details/ethicspoliticsin0000dahl" TargetMode="External"/><Relationship Id="rId35" Type="http://schemas.openxmlformats.org/officeDocument/2006/relationships/hyperlink" Target="https://link.springer.com/book/10.1007/b97451" TargetMode="External"/><Relationship Id="rId43" Type="http://schemas.openxmlformats.org/officeDocument/2006/relationships/hyperlink" Target="https://www.taylorfrancis.com/books/mono/10.4324/9781003116295/leadership-early-childhood-jillian-rodd" TargetMode="External"/><Relationship Id="rId48" Type="http://schemas.openxmlformats.org/officeDocument/2006/relationships/hyperlink" Target="https://naurok.com.ua/magisterska-robota-na-temu-organizaciya-naukovo-metodichno-diyalnosti-v-zakladidoshkilno-osviti-171245.html" TargetMode="External"/><Relationship Id="rId8" Type="http://schemas.openxmlformats.org/officeDocument/2006/relationships/hyperlink" Target="https://archive.org/details/ethicspoliticsin0000dahl" TargetMode="External"/><Relationship Id="rId51" Type="http://schemas.openxmlformats.org/officeDocument/2006/relationships/hyperlink" Target="https://orcid.org/0000-0002-4267-829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A6D402-AB75-4D9F-9A1A-77A186C89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523</TotalTime>
  <Pages>19</Pages>
  <Words>24923</Words>
  <Characters>14207</Characters>
  <Application>Microsoft Office Word</Application>
  <DocSecurity>0</DocSecurity>
  <Lines>118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Кушнір</dc:creator>
  <cp:keywords/>
  <dc:description/>
  <cp:lastModifiedBy>Кушнір</cp:lastModifiedBy>
  <cp:revision>18</cp:revision>
  <dcterms:created xsi:type="dcterms:W3CDTF">2025-12-12T13:24:00Z</dcterms:created>
  <dcterms:modified xsi:type="dcterms:W3CDTF">2025-12-12T22:22:00Z</dcterms:modified>
</cp:coreProperties>
</file>